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hint="eastAsia"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聊城市技师学院第二届全国职业技能大赛训练、比赛铝模板租采购项目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编号：JYTP2023-025</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二三年八月</w:t>
      </w:r>
    </w:p>
    <w:p>
      <w:pPr>
        <w:pStyle w:val="2"/>
        <w:ind w:firstLine="622"/>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聊城市技师学院第二届全国职业技能大赛训练、比赛铝模板租赁采购项目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bookmarkStart w:id="2" w:name="_GoBack"/>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二、项目名称：聊城市技师学院第二届全国职业技能大赛训练、比赛铝模板租赁采购项目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个包：聊城市技师学院第二届全国职业技能大赛训练、比赛铝模板租赁采购项目，详见项目说明。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3年8月21日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3年8月23日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3年8月24日15</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3年8月24日15</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8月21日</w:t>
      </w:r>
      <w:bookmarkEnd w:id="0"/>
      <w:bookmarkStart w:id="1" w:name="_Toc232666482"/>
    </w:p>
    <w:bookmarkEnd w:id="2"/>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聊城市技师学院第二届全国职业技能大赛训练、比赛铝模板租赁采购项目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聊城市技师学院第二届全国职业技能大赛训练、比赛铝模板租赁采购项目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hint="eastAsia"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firstLine="480"/>
              <w:rPr>
                <w:rFonts w:hint="eastAsia" w:ascii="宋体" w:hAnsi="宋体" w:cs="宋体"/>
                <w:sz w:val="24"/>
                <w:szCs w:val="24"/>
              </w:rPr>
            </w:pPr>
            <w:r>
              <w:rPr>
                <w:rFonts w:hint="eastAsia" w:ascii="宋体" w:hAnsi="宋体" w:cs="宋体"/>
                <w:sz w:val="24"/>
                <w:szCs w:val="24"/>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jc w:val="center"/>
              <w:rPr>
                <w:rFonts w:ascii="宋体" w:hAnsi="宋体" w:cs="宋体"/>
                <w:sz w:val="24"/>
                <w:szCs w:val="24"/>
              </w:rPr>
            </w:pPr>
            <w:r>
              <w:rPr>
                <w:rFonts w:hint="eastAsia" w:ascii="宋体" w:hAnsi="宋体" w:cs="宋体"/>
                <w:sz w:val="24"/>
                <w:szCs w:val="24"/>
              </w:rPr>
              <w:t>租赁期限</w:t>
            </w:r>
          </w:p>
        </w:tc>
        <w:tc>
          <w:tcPr>
            <w:tcW w:w="8127" w:type="dxa"/>
            <w:vAlign w:val="center"/>
          </w:tcPr>
          <w:p>
            <w:pPr>
              <w:pStyle w:val="23"/>
              <w:spacing w:line="360" w:lineRule="auto"/>
              <w:ind w:left="0" w:leftChars="0" w:firstLine="480"/>
              <w:rPr>
                <w:rFonts w:ascii="宋体" w:hAnsi="宋体" w:cs="宋体"/>
                <w:sz w:val="24"/>
                <w:szCs w:val="24"/>
              </w:rPr>
            </w:pPr>
            <w:r>
              <w:rPr>
                <w:rFonts w:hint="eastAsia" w:ascii="宋体" w:hAnsi="宋体" w:cs="宋体"/>
                <w:sz w:val="24"/>
                <w:szCs w:val="24"/>
              </w:rPr>
              <w:t>交货并安装调试完毕之日起三个月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s="宋体"/>
                <w:sz w:val="24"/>
                <w:szCs w:val="24"/>
              </w:rPr>
              <w:t>交付使用期限</w:t>
            </w:r>
          </w:p>
        </w:tc>
        <w:tc>
          <w:tcPr>
            <w:tcW w:w="8127" w:type="dxa"/>
            <w:vAlign w:val="center"/>
          </w:tcPr>
          <w:p>
            <w:pPr>
              <w:spacing w:line="276" w:lineRule="auto"/>
              <w:rPr>
                <w:rFonts w:ascii="宋体" w:hAnsi="宋体"/>
                <w:szCs w:val="21"/>
              </w:rPr>
            </w:pPr>
            <w:r>
              <w:rPr>
                <w:rFonts w:hint="eastAsia" w:ascii="宋体" w:hAnsi="宋体" w:cs="宋体"/>
                <w:sz w:val="24"/>
                <w:szCs w:val="24"/>
              </w:rPr>
              <w:t>5日内交货并安装调试完毕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租赁期满后，无质量使用问题一次性付清。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3年8月21日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3年8月23日（北京时间），每日上午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18600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2023年8月24日15时30分（北京时间）。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2023年8月24日15时30分（北京时间）。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spacing w:line="480" w:lineRule="auto"/>
        <w:rPr>
          <w:b/>
          <w:sz w:val="24"/>
          <w:szCs w:val="24"/>
        </w:rPr>
      </w:pP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615"/>
        <w:gridCol w:w="720"/>
        <w:gridCol w:w="810"/>
        <w:gridCol w:w="990"/>
        <w:gridCol w:w="108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ind w:firstLine="240" w:firstLineChars="100"/>
              <w:jc w:val="center"/>
              <w:rPr>
                <w:rFonts w:hint="eastAsia"/>
                <w:sz w:val="24"/>
                <w:szCs w:val="24"/>
              </w:rPr>
            </w:pPr>
            <w:r>
              <w:rPr>
                <w:rFonts w:hint="eastAsia"/>
                <w:sz w:val="24"/>
                <w:szCs w:val="24"/>
              </w:rPr>
              <w:t>名称</w:t>
            </w:r>
          </w:p>
        </w:tc>
        <w:tc>
          <w:tcPr>
            <w:tcW w:w="3615" w:type="dxa"/>
            <w:vAlign w:val="center"/>
          </w:tcPr>
          <w:p>
            <w:pPr>
              <w:jc w:val="center"/>
              <w:rPr>
                <w:rFonts w:hint="eastAsia"/>
                <w:sz w:val="24"/>
                <w:szCs w:val="24"/>
              </w:rPr>
            </w:pPr>
            <w:r>
              <w:rPr>
                <w:rFonts w:hint="eastAsia"/>
                <w:sz w:val="24"/>
                <w:szCs w:val="24"/>
              </w:rPr>
              <w:t>技术参数</w:t>
            </w:r>
          </w:p>
        </w:tc>
        <w:tc>
          <w:tcPr>
            <w:tcW w:w="720" w:type="dxa"/>
          </w:tcPr>
          <w:p>
            <w:pPr>
              <w:jc w:val="left"/>
              <w:rPr>
                <w:rFonts w:hint="eastAsia"/>
                <w:sz w:val="24"/>
                <w:szCs w:val="24"/>
              </w:rPr>
            </w:pPr>
            <w:r>
              <w:rPr>
                <w:rFonts w:hint="eastAsia"/>
                <w:sz w:val="24"/>
                <w:szCs w:val="24"/>
              </w:rPr>
              <w:t>计量单位</w:t>
            </w:r>
          </w:p>
        </w:tc>
        <w:tc>
          <w:tcPr>
            <w:tcW w:w="810" w:type="dxa"/>
          </w:tcPr>
          <w:p>
            <w:pPr>
              <w:jc w:val="left"/>
              <w:rPr>
                <w:rFonts w:hint="eastAsia"/>
                <w:sz w:val="24"/>
                <w:szCs w:val="24"/>
              </w:rPr>
            </w:pPr>
            <w:r>
              <w:rPr>
                <w:rFonts w:hint="eastAsia"/>
                <w:sz w:val="24"/>
                <w:szCs w:val="24"/>
              </w:rPr>
              <w:t>需求数量</w:t>
            </w:r>
          </w:p>
        </w:tc>
        <w:tc>
          <w:tcPr>
            <w:tcW w:w="990" w:type="dxa"/>
          </w:tcPr>
          <w:p>
            <w:pPr>
              <w:jc w:val="left"/>
              <w:rPr>
                <w:rFonts w:hint="eastAsia"/>
                <w:sz w:val="24"/>
                <w:szCs w:val="24"/>
              </w:rPr>
            </w:pPr>
            <w:r>
              <w:rPr>
                <w:rFonts w:hint="eastAsia"/>
                <w:sz w:val="24"/>
                <w:szCs w:val="24"/>
              </w:rPr>
              <w:t>单价（元）</w:t>
            </w:r>
          </w:p>
        </w:tc>
        <w:tc>
          <w:tcPr>
            <w:tcW w:w="1080" w:type="dxa"/>
          </w:tcPr>
          <w:p>
            <w:pPr>
              <w:jc w:val="left"/>
              <w:rPr>
                <w:rFonts w:hint="eastAsia"/>
                <w:sz w:val="24"/>
                <w:szCs w:val="24"/>
              </w:rPr>
            </w:pPr>
            <w:r>
              <w:rPr>
                <w:rFonts w:hint="eastAsia"/>
                <w:sz w:val="24"/>
                <w:szCs w:val="24"/>
              </w:rPr>
              <w:t>金额（元）</w:t>
            </w:r>
          </w:p>
        </w:tc>
        <w:tc>
          <w:tcPr>
            <w:tcW w:w="765" w:type="dxa"/>
          </w:tcPr>
          <w:p>
            <w:pPr>
              <w:jc w:val="left"/>
              <w:rPr>
                <w:rFonts w:hint="eastAsia"/>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945" w:type="dxa"/>
            <w:vAlign w:val="center"/>
          </w:tcPr>
          <w:p>
            <w:pPr>
              <w:jc w:val="center"/>
              <w:rPr>
                <w:rFonts w:hint="eastAsia"/>
                <w:sz w:val="24"/>
                <w:szCs w:val="24"/>
              </w:rPr>
            </w:pPr>
            <w:r>
              <w:rPr>
                <w:rFonts w:hint="eastAsia"/>
                <w:sz w:val="24"/>
                <w:szCs w:val="24"/>
              </w:rPr>
              <w:t>铝模板</w:t>
            </w:r>
          </w:p>
        </w:tc>
        <w:tc>
          <w:tcPr>
            <w:tcW w:w="3615" w:type="dxa"/>
            <w:vAlign w:val="center"/>
          </w:tcPr>
          <w:p>
            <w:pPr>
              <w:jc w:val="left"/>
              <w:rPr>
                <w:sz w:val="24"/>
                <w:szCs w:val="24"/>
              </w:rPr>
            </w:pPr>
            <w:r>
              <w:rPr>
                <w:rFonts w:hint="eastAsia"/>
                <w:sz w:val="24"/>
                <w:szCs w:val="24"/>
              </w:rPr>
              <w:t>400*2600平板，转角模板、配套可调节背楞、斜撑、销钉销片、对拉螺杆等配套</w:t>
            </w:r>
          </w:p>
        </w:tc>
        <w:tc>
          <w:tcPr>
            <w:tcW w:w="720" w:type="dxa"/>
            <w:vAlign w:val="center"/>
          </w:tcPr>
          <w:p>
            <w:pPr>
              <w:jc w:val="center"/>
              <w:rPr>
                <w:sz w:val="24"/>
                <w:szCs w:val="24"/>
              </w:rPr>
            </w:pPr>
            <w:r>
              <w:rPr>
                <w:rFonts w:hint="eastAsia"/>
                <w:sz w:val="24"/>
                <w:szCs w:val="24"/>
              </w:rPr>
              <w:t>㎡</w:t>
            </w:r>
          </w:p>
        </w:tc>
        <w:tc>
          <w:tcPr>
            <w:tcW w:w="810" w:type="dxa"/>
            <w:vAlign w:val="center"/>
          </w:tcPr>
          <w:p>
            <w:pPr>
              <w:jc w:val="center"/>
              <w:rPr>
                <w:sz w:val="24"/>
                <w:szCs w:val="24"/>
              </w:rPr>
            </w:pPr>
            <w:r>
              <w:rPr>
                <w:rFonts w:hint="eastAsia"/>
                <w:sz w:val="24"/>
                <w:szCs w:val="24"/>
              </w:rPr>
              <w:t>50</w:t>
            </w:r>
          </w:p>
        </w:tc>
        <w:tc>
          <w:tcPr>
            <w:tcW w:w="990" w:type="dxa"/>
            <w:vAlign w:val="center"/>
          </w:tcPr>
          <w:p>
            <w:pPr>
              <w:jc w:val="center"/>
              <w:rPr>
                <w:sz w:val="24"/>
                <w:szCs w:val="24"/>
              </w:rPr>
            </w:pPr>
          </w:p>
        </w:tc>
        <w:tc>
          <w:tcPr>
            <w:tcW w:w="1080" w:type="dxa"/>
            <w:vAlign w:val="center"/>
          </w:tcPr>
          <w:p>
            <w:pPr>
              <w:jc w:val="center"/>
              <w:rPr>
                <w:sz w:val="24"/>
                <w:szCs w:val="24"/>
              </w:rPr>
            </w:pPr>
          </w:p>
        </w:tc>
        <w:tc>
          <w:tcPr>
            <w:tcW w:w="765" w:type="dxa"/>
            <w:vAlign w:val="center"/>
          </w:tcPr>
          <w:p>
            <w:pPr>
              <w:jc w:val="center"/>
              <w:rPr>
                <w:sz w:val="24"/>
                <w:szCs w:val="24"/>
              </w:rPr>
            </w:pPr>
            <w:r>
              <w:rPr>
                <w:rFonts w:hint="eastAsia"/>
                <w:sz w:val="24"/>
                <w:szCs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45" w:type="dxa"/>
            <w:vAlign w:val="center"/>
          </w:tcPr>
          <w:p>
            <w:pPr>
              <w:jc w:val="center"/>
              <w:rPr>
                <w:rFonts w:hint="eastAsia"/>
                <w:sz w:val="24"/>
                <w:szCs w:val="24"/>
              </w:rPr>
            </w:pPr>
          </w:p>
        </w:tc>
        <w:tc>
          <w:tcPr>
            <w:tcW w:w="3615" w:type="dxa"/>
            <w:vAlign w:val="center"/>
          </w:tcPr>
          <w:p>
            <w:pPr>
              <w:jc w:val="left"/>
              <w:rPr>
                <w:rFonts w:hint="eastAsia"/>
                <w:sz w:val="24"/>
                <w:szCs w:val="24"/>
              </w:rPr>
            </w:pPr>
          </w:p>
        </w:tc>
        <w:tc>
          <w:tcPr>
            <w:tcW w:w="720" w:type="dxa"/>
            <w:vAlign w:val="center"/>
          </w:tcPr>
          <w:p>
            <w:pPr>
              <w:jc w:val="center"/>
              <w:rPr>
                <w:rFonts w:hint="eastAsia"/>
                <w:sz w:val="24"/>
                <w:szCs w:val="24"/>
              </w:rPr>
            </w:pPr>
          </w:p>
        </w:tc>
        <w:tc>
          <w:tcPr>
            <w:tcW w:w="810" w:type="dxa"/>
            <w:vAlign w:val="center"/>
          </w:tcPr>
          <w:p>
            <w:pPr>
              <w:jc w:val="center"/>
              <w:rPr>
                <w:rFonts w:hint="eastAsia"/>
                <w:sz w:val="24"/>
                <w:szCs w:val="24"/>
              </w:rPr>
            </w:pPr>
          </w:p>
        </w:tc>
        <w:tc>
          <w:tcPr>
            <w:tcW w:w="990" w:type="dxa"/>
            <w:vAlign w:val="center"/>
          </w:tcPr>
          <w:p>
            <w:pPr>
              <w:jc w:val="center"/>
              <w:rPr>
                <w:rFonts w:hint="eastAsia"/>
                <w:sz w:val="24"/>
                <w:szCs w:val="24"/>
              </w:rPr>
            </w:pPr>
          </w:p>
        </w:tc>
        <w:tc>
          <w:tcPr>
            <w:tcW w:w="1080" w:type="dxa"/>
            <w:vAlign w:val="center"/>
          </w:tcPr>
          <w:p>
            <w:pPr>
              <w:jc w:val="center"/>
              <w:rPr>
                <w:rFonts w:hint="eastAsia"/>
                <w:sz w:val="24"/>
                <w:szCs w:val="24"/>
              </w:rPr>
            </w:pPr>
          </w:p>
        </w:tc>
        <w:tc>
          <w:tcPr>
            <w:tcW w:w="765"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945" w:type="dxa"/>
            <w:vAlign w:val="center"/>
          </w:tcPr>
          <w:p>
            <w:pPr>
              <w:jc w:val="center"/>
              <w:rPr>
                <w:rFonts w:hint="eastAsia"/>
                <w:sz w:val="24"/>
                <w:szCs w:val="24"/>
              </w:rPr>
            </w:pPr>
            <w:r>
              <w:rPr>
                <w:rFonts w:hint="eastAsia"/>
                <w:sz w:val="24"/>
                <w:szCs w:val="24"/>
              </w:rPr>
              <w:t>合计：</w:t>
            </w:r>
          </w:p>
        </w:tc>
        <w:tc>
          <w:tcPr>
            <w:tcW w:w="3615" w:type="dxa"/>
            <w:vAlign w:val="center"/>
          </w:tcPr>
          <w:p>
            <w:pPr>
              <w:jc w:val="center"/>
              <w:rPr>
                <w:rFonts w:hint="eastAsia"/>
                <w:sz w:val="24"/>
                <w:szCs w:val="24"/>
              </w:rPr>
            </w:pPr>
          </w:p>
        </w:tc>
        <w:tc>
          <w:tcPr>
            <w:tcW w:w="720" w:type="dxa"/>
            <w:vAlign w:val="center"/>
          </w:tcPr>
          <w:p>
            <w:pPr>
              <w:jc w:val="center"/>
              <w:rPr>
                <w:rFonts w:hint="eastAsia"/>
                <w:sz w:val="24"/>
                <w:szCs w:val="24"/>
              </w:rPr>
            </w:pPr>
          </w:p>
        </w:tc>
        <w:tc>
          <w:tcPr>
            <w:tcW w:w="810" w:type="dxa"/>
            <w:vAlign w:val="center"/>
          </w:tcPr>
          <w:p>
            <w:pPr>
              <w:jc w:val="center"/>
              <w:rPr>
                <w:rFonts w:hint="eastAsia"/>
                <w:sz w:val="24"/>
                <w:szCs w:val="24"/>
              </w:rPr>
            </w:pPr>
          </w:p>
        </w:tc>
        <w:tc>
          <w:tcPr>
            <w:tcW w:w="990" w:type="dxa"/>
            <w:vAlign w:val="center"/>
          </w:tcPr>
          <w:p>
            <w:pPr>
              <w:jc w:val="center"/>
              <w:rPr>
                <w:rFonts w:hint="eastAsia"/>
                <w:sz w:val="24"/>
                <w:szCs w:val="24"/>
              </w:rPr>
            </w:pPr>
          </w:p>
        </w:tc>
        <w:tc>
          <w:tcPr>
            <w:tcW w:w="1080" w:type="dxa"/>
            <w:vAlign w:val="center"/>
          </w:tcPr>
          <w:p>
            <w:pPr>
              <w:jc w:val="center"/>
              <w:rPr>
                <w:sz w:val="24"/>
                <w:szCs w:val="24"/>
              </w:rPr>
            </w:pPr>
          </w:p>
        </w:tc>
        <w:tc>
          <w:tcPr>
            <w:tcW w:w="765" w:type="dxa"/>
          </w:tcPr>
          <w:p>
            <w:pPr>
              <w:jc w:val="left"/>
              <w:rPr>
                <w:rFonts w:hint="eastAsia"/>
                <w:sz w:val="24"/>
                <w:szCs w:val="24"/>
              </w:rPr>
            </w:pPr>
          </w:p>
        </w:tc>
      </w:tr>
    </w:tbl>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0" w:firstLineChars="0"/>
        <w:rPr>
          <w:rFonts w:hint="eastAsia"/>
          <w:sz w:val="24"/>
          <w:szCs w:val="24"/>
        </w:rPr>
      </w:pPr>
      <w:r>
        <w:rPr>
          <w:rFonts w:hint="eastAsia"/>
          <w:sz w:val="24"/>
          <w:szCs w:val="24"/>
        </w:rPr>
        <w:t>400*2600平板，转角模板、配套可调节背楞、斜撑、销钉销片、对拉螺杆等配套</w:t>
      </w:r>
    </w:p>
    <w:p>
      <w:pPr>
        <w:pStyle w:val="258"/>
        <w:tabs>
          <w:tab w:val="left" w:pos="0"/>
          <w:tab w:val="left" w:pos="180"/>
          <w:tab w:val="left" w:pos="360"/>
        </w:tabs>
        <w:spacing w:line="276" w:lineRule="auto"/>
        <w:ind w:firstLine="3507" w:firstLineChars="794"/>
        <w:rPr>
          <w:rFonts w:hint="eastAsia"/>
          <w:b/>
          <w:color w:val="000000"/>
          <w:sz w:val="44"/>
        </w:rPr>
      </w:pPr>
      <w:r>
        <w:rPr>
          <w:rFonts w:hint="eastAsia"/>
          <w:b/>
          <w:color w:val="000000"/>
          <w:sz w:val="44"/>
        </w:rPr>
        <w:t>四、用料清单：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615"/>
        <w:gridCol w:w="720"/>
        <w:gridCol w:w="810"/>
        <w:gridCol w:w="990"/>
        <w:gridCol w:w="108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ind w:firstLine="240" w:firstLineChars="100"/>
              <w:jc w:val="center"/>
              <w:rPr>
                <w:rFonts w:hint="eastAsia"/>
                <w:sz w:val="24"/>
                <w:szCs w:val="24"/>
              </w:rPr>
            </w:pPr>
            <w:r>
              <w:rPr>
                <w:rFonts w:hint="eastAsia"/>
                <w:sz w:val="24"/>
                <w:szCs w:val="24"/>
              </w:rPr>
              <w:t>名称</w:t>
            </w:r>
          </w:p>
        </w:tc>
        <w:tc>
          <w:tcPr>
            <w:tcW w:w="3615" w:type="dxa"/>
            <w:vAlign w:val="center"/>
          </w:tcPr>
          <w:p>
            <w:pPr>
              <w:jc w:val="center"/>
              <w:rPr>
                <w:rFonts w:hint="eastAsia"/>
                <w:sz w:val="24"/>
                <w:szCs w:val="24"/>
              </w:rPr>
            </w:pPr>
            <w:r>
              <w:rPr>
                <w:rFonts w:hint="eastAsia"/>
                <w:sz w:val="24"/>
                <w:szCs w:val="24"/>
              </w:rPr>
              <w:t>技术参数</w:t>
            </w:r>
          </w:p>
        </w:tc>
        <w:tc>
          <w:tcPr>
            <w:tcW w:w="720" w:type="dxa"/>
          </w:tcPr>
          <w:p>
            <w:pPr>
              <w:jc w:val="left"/>
              <w:rPr>
                <w:rFonts w:hint="eastAsia"/>
                <w:sz w:val="24"/>
                <w:szCs w:val="24"/>
              </w:rPr>
            </w:pPr>
            <w:r>
              <w:rPr>
                <w:rFonts w:hint="eastAsia"/>
                <w:sz w:val="24"/>
                <w:szCs w:val="24"/>
              </w:rPr>
              <w:t>计量单位</w:t>
            </w:r>
          </w:p>
        </w:tc>
        <w:tc>
          <w:tcPr>
            <w:tcW w:w="810" w:type="dxa"/>
          </w:tcPr>
          <w:p>
            <w:pPr>
              <w:jc w:val="left"/>
              <w:rPr>
                <w:rFonts w:hint="eastAsia"/>
                <w:sz w:val="24"/>
                <w:szCs w:val="24"/>
              </w:rPr>
            </w:pPr>
            <w:r>
              <w:rPr>
                <w:rFonts w:hint="eastAsia"/>
                <w:sz w:val="24"/>
                <w:szCs w:val="24"/>
              </w:rPr>
              <w:t>需求数量</w:t>
            </w:r>
          </w:p>
        </w:tc>
        <w:tc>
          <w:tcPr>
            <w:tcW w:w="990" w:type="dxa"/>
          </w:tcPr>
          <w:p>
            <w:pPr>
              <w:jc w:val="left"/>
              <w:rPr>
                <w:rFonts w:hint="eastAsia"/>
                <w:sz w:val="24"/>
                <w:szCs w:val="24"/>
              </w:rPr>
            </w:pPr>
            <w:r>
              <w:rPr>
                <w:rFonts w:hint="eastAsia"/>
                <w:sz w:val="24"/>
                <w:szCs w:val="24"/>
              </w:rPr>
              <w:t>预计单价（元）</w:t>
            </w:r>
          </w:p>
        </w:tc>
        <w:tc>
          <w:tcPr>
            <w:tcW w:w="1080" w:type="dxa"/>
          </w:tcPr>
          <w:p>
            <w:pPr>
              <w:jc w:val="left"/>
              <w:rPr>
                <w:rFonts w:hint="eastAsia"/>
                <w:sz w:val="24"/>
                <w:szCs w:val="24"/>
              </w:rPr>
            </w:pPr>
            <w:r>
              <w:rPr>
                <w:rFonts w:hint="eastAsia"/>
                <w:sz w:val="24"/>
                <w:szCs w:val="24"/>
              </w:rPr>
              <w:t>预计金额（元）</w:t>
            </w:r>
          </w:p>
        </w:tc>
        <w:tc>
          <w:tcPr>
            <w:tcW w:w="765" w:type="dxa"/>
          </w:tcPr>
          <w:p>
            <w:pPr>
              <w:jc w:val="left"/>
              <w:rPr>
                <w:rFonts w:hint="eastAsia"/>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945" w:type="dxa"/>
            <w:vAlign w:val="center"/>
          </w:tcPr>
          <w:p>
            <w:pPr>
              <w:jc w:val="center"/>
              <w:rPr>
                <w:rFonts w:hint="eastAsia"/>
                <w:sz w:val="24"/>
                <w:szCs w:val="24"/>
              </w:rPr>
            </w:pPr>
            <w:r>
              <w:rPr>
                <w:rFonts w:hint="eastAsia"/>
                <w:sz w:val="24"/>
                <w:szCs w:val="24"/>
              </w:rPr>
              <w:t>铝模板</w:t>
            </w:r>
          </w:p>
        </w:tc>
        <w:tc>
          <w:tcPr>
            <w:tcW w:w="3615" w:type="dxa"/>
            <w:vAlign w:val="center"/>
          </w:tcPr>
          <w:p>
            <w:pPr>
              <w:jc w:val="left"/>
              <w:rPr>
                <w:sz w:val="24"/>
                <w:szCs w:val="24"/>
              </w:rPr>
            </w:pPr>
            <w:r>
              <w:rPr>
                <w:rFonts w:hint="eastAsia"/>
                <w:sz w:val="24"/>
                <w:szCs w:val="24"/>
              </w:rPr>
              <w:t>400*2600平板，转角模板、配套可调节背楞、斜撑、销钉销片、对拉螺杆等配套</w:t>
            </w:r>
          </w:p>
        </w:tc>
        <w:tc>
          <w:tcPr>
            <w:tcW w:w="720" w:type="dxa"/>
            <w:vAlign w:val="center"/>
          </w:tcPr>
          <w:p>
            <w:pPr>
              <w:jc w:val="center"/>
              <w:rPr>
                <w:sz w:val="24"/>
                <w:szCs w:val="24"/>
              </w:rPr>
            </w:pPr>
            <w:r>
              <w:rPr>
                <w:rFonts w:hint="eastAsia"/>
                <w:sz w:val="24"/>
                <w:szCs w:val="24"/>
              </w:rPr>
              <w:t>㎡</w:t>
            </w:r>
          </w:p>
        </w:tc>
        <w:tc>
          <w:tcPr>
            <w:tcW w:w="810" w:type="dxa"/>
            <w:vAlign w:val="center"/>
          </w:tcPr>
          <w:p>
            <w:pPr>
              <w:jc w:val="center"/>
              <w:rPr>
                <w:sz w:val="24"/>
                <w:szCs w:val="24"/>
              </w:rPr>
            </w:pPr>
            <w:r>
              <w:rPr>
                <w:rFonts w:hint="eastAsia"/>
                <w:sz w:val="24"/>
                <w:szCs w:val="24"/>
              </w:rPr>
              <w:t>50</w:t>
            </w:r>
          </w:p>
        </w:tc>
        <w:tc>
          <w:tcPr>
            <w:tcW w:w="990" w:type="dxa"/>
            <w:vAlign w:val="center"/>
          </w:tcPr>
          <w:p>
            <w:pPr>
              <w:jc w:val="center"/>
              <w:rPr>
                <w:sz w:val="24"/>
                <w:szCs w:val="24"/>
              </w:rPr>
            </w:pPr>
            <w:r>
              <w:rPr>
                <w:rFonts w:hint="eastAsia"/>
                <w:sz w:val="24"/>
                <w:szCs w:val="24"/>
              </w:rPr>
              <w:t>3720</w:t>
            </w:r>
          </w:p>
        </w:tc>
        <w:tc>
          <w:tcPr>
            <w:tcW w:w="1080" w:type="dxa"/>
            <w:vAlign w:val="center"/>
          </w:tcPr>
          <w:p>
            <w:pPr>
              <w:jc w:val="center"/>
              <w:rPr>
                <w:sz w:val="24"/>
                <w:szCs w:val="24"/>
              </w:rPr>
            </w:pPr>
            <w:r>
              <w:rPr>
                <w:rFonts w:hint="eastAsia"/>
                <w:sz w:val="24"/>
                <w:szCs w:val="24"/>
              </w:rPr>
              <w:t>18600</w:t>
            </w:r>
          </w:p>
        </w:tc>
        <w:tc>
          <w:tcPr>
            <w:tcW w:w="765" w:type="dxa"/>
            <w:vAlign w:val="center"/>
          </w:tcPr>
          <w:p>
            <w:pPr>
              <w:jc w:val="center"/>
              <w:rPr>
                <w:sz w:val="24"/>
                <w:szCs w:val="24"/>
              </w:rPr>
            </w:pPr>
            <w:r>
              <w:rPr>
                <w:rFonts w:hint="eastAsia"/>
                <w:sz w:val="24"/>
                <w:szCs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45" w:type="dxa"/>
            <w:vAlign w:val="center"/>
          </w:tcPr>
          <w:p>
            <w:pPr>
              <w:jc w:val="center"/>
              <w:rPr>
                <w:rFonts w:hint="eastAsia"/>
                <w:sz w:val="24"/>
                <w:szCs w:val="24"/>
              </w:rPr>
            </w:pPr>
          </w:p>
        </w:tc>
        <w:tc>
          <w:tcPr>
            <w:tcW w:w="3615" w:type="dxa"/>
            <w:vAlign w:val="center"/>
          </w:tcPr>
          <w:p>
            <w:pPr>
              <w:jc w:val="left"/>
              <w:rPr>
                <w:rFonts w:hint="eastAsia"/>
                <w:sz w:val="24"/>
                <w:szCs w:val="24"/>
              </w:rPr>
            </w:pPr>
          </w:p>
        </w:tc>
        <w:tc>
          <w:tcPr>
            <w:tcW w:w="720" w:type="dxa"/>
            <w:vAlign w:val="center"/>
          </w:tcPr>
          <w:p>
            <w:pPr>
              <w:jc w:val="center"/>
              <w:rPr>
                <w:rFonts w:hint="eastAsia"/>
                <w:sz w:val="24"/>
                <w:szCs w:val="24"/>
              </w:rPr>
            </w:pPr>
          </w:p>
        </w:tc>
        <w:tc>
          <w:tcPr>
            <w:tcW w:w="810" w:type="dxa"/>
            <w:vAlign w:val="center"/>
          </w:tcPr>
          <w:p>
            <w:pPr>
              <w:jc w:val="center"/>
              <w:rPr>
                <w:rFonts w:hint="eastAsia"/>
                <w:sz w:val="24"/>
                <w:szCs w:val="24"/>
              </w:rPr>
            </w:pPr>
          </w:p>
        </w:tc>
        <w:tc>
          <w:tcPr>
            <w:tcW w:w="990" w:type="dxa"/>
            <w:vAlign w:val="center"/>
          </w:tcPr>
          <w:p>
            <w:pPr>
              <w:jc w:val="center"/>
              <w:rPr>
                <w:rFonts w:hint="eastAsia"/>
                <w:sz w:val="24"/>
                <w:szCs w:val="24"/>
              </w:rPr>
            </w:pPr>
          </w:p>
        </w:tc>
        <w:tc>
          <w:tcPr>
            <w:tcW w:w="1080" w:type="dxa"/>
            <w:vAlign w:val="center"/>
          </w:tcPr>
          <w:p>
            <w:pPr>
              <w:jc w:val="center"/>
              <w:rPr>
                <w:rFonts w:hint="eastAsia"/>
                <w:sz w:val="24"/>
                <w:szCs w:val="24"/>
              </w:rPr>
            </w:pPr>
          </w:p>
        </w:tc>
        <w:tc>
          <w:tcPr>
            <w:tcW w:w="765"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945" w:type="dxa"/>
            <w:vAlign w:val="center"/>
          </w:tcPr>
          <w:p>
            <w:pPr>
              <w:jc w:val="center"/>
              <w:rPr>
                <w:rFonts w:hint="eastAsia"/>
                <w:sz w:val="24"/>
                <w:szCs w:val="24"/>
              </w:rPr>
            </w:pPr>
            <w:r>
              <w:rPr>
                <w:rFonts w:hint="eastAsia"/>
                <w:sz w:val="24"/>
                <w:szCs w:val="24"/>
              </w:rPr>
              <w:t>合计：</w:t>
            </w:r>
          </w:p>
        </w:tc>
        <w:tc>
          <w:tcPr>
            <w:tcW w:w="3615" w:type="dxa"/>
            <w:vAlign w:val="center"/>
          </w:tcPr>
          <w:p>
            <w:pPr>
              <w:jc w:val="center"/>
              <w:rPr>
                <w:rFonts w:hint="eastAsia"/>
                <w:sz w:val="24"/>
                <w:szCs w:val="24"/>
              </w:rPr>
            </w:pPr>
          </w:p>
        </w:tc>
        <w:tc>
          <w:tcPr>
            <w:tcW w:w="720" w:type="dxa"/>
            <w:vAlign w:val="center"/>
          </w:tcPr>
          <w:p>
            <w:pPr>
              <w:jc w:val="center"/>
              <w:rPr>
                <w:rFonts w:hint="eastAsia"/>
                <w:sz w:val="24"/>
                <w:szCs w:val="24"/>
              </w:rPr>
            </w:pPr>
          </w:p>
        </w:tc>
        <w:tc>
          <w:tcPr>
            <w:tcW w:w="810" w:type="dxa"/>
            <w:vAlign w:val="center"/>
          </w:tcPr>
          <w:p>
            <w:pPr>
              <w:jc w:val="center"/>
              <w:rPr>
                <w:rFonts w:hint="eastAsia"/>
                <w:sz w:val="24"/>
                <w:szCs w:val="24"/>
              </w:rPr>
            </w:pPr>
          </w:p>
        </w:tc>
        <w:tc>
          <w:tcPr>
            <w:tcW w:w="990" w:type="dxa"/>
            <w:vAlign w:val="center"/>
          </w:tcPr>
          <w:p>
            <w:pPr>
              <w:jc w:val="center"/>
              <w:rPr>
                <w:rFonts w:hint="eastAsia"/>
                <w:sz w:val="24"/>
                <w:szCs w:val="24"/>
              </w:rPr>
            </w:pPr>
          </w:p>
        </w:tc>
        <w:tc>
          <w:tcPr>
            <w:tcW w:w="1080" w:type="dxa"/>
            <w:vAlign w:val="center"/>
          </w:tcPr>
          <w:p>
            <w:pPr>
              <w:jc w:val="center"/>
              <w:rPr>
                <w:sz w:val="24"/>
                <w:szCs w:val="24"/>
              </w:rPr>
            </w:pPr>
            <w:r>
              <w:rPr>
                <w:rFonts w:hint="eastAsia"/>
                <w:sz w:val="24"/>
                <w:szCs w:val="24"/>
              </w:rPr>
              <w:t>18600</w:t>
            </w:r>
          </w:p>
        </w:tc>
        <w:tc>
          <w:tcPr>
            <w:tcW w:w="765" w:type="dxa"/>
          </w:tcPr>
          <w:p>
            <w:pPr>
              <w:jc w:val="left"/>
              <w:rPr>
                <w:rFonts w:hint="eastAsia"/>
                <w:sz w:val="24"/>
                <w:szCs w:val="24"/>
              </w:rPr>
            </w:pP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0" w:firstLine="400"/>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6C78"/>
    <w:rsid w:val="000E7F76"/>
    <w:rsid w:val="001126C3"/>
    <w:rsid w:val="001175D0"/>
    <w:rsid w:val="00122CE9"/>
    <w:rsid w:val="00134C50"/>
    <w:rsid w:val="001554D8"/>
    <w:rsid w:val="001649D8"/>
    <w:rsid w:val="00187416"/>
    <w:rsid w:val="001E414B"/>
    <w:rsid w:val="001E49E8"/>
    <w:rsid w:val="001F54FF"/>
    <w:rsid w:val="001F7280"/>
    <w:rsid w:val="002A7360"/>
    <w:rsid w:val="002C4C18"/>
    <w:rsid w:val="00311EDA"/>
    <w:rsid w:val="0031516A"/>
    <w:rsid w:val="00323277"/>
    <w:rsid w:val="0036563D"/>
    <w:rsid w:val="003879D1"/>
    <w:rsid w:val="00396BD7"/>
    <w:rsid w:val="003A4C70"/>
    <w:rsid w:val="003D3363"/>
    <w:rsid w:val="00415921"/>
    <w:rsid w:val="00452531"/>
    <w:rsid w:val="0047191F"/>
    <w:rsid w:val="00475656"/>
    <w:rsid w:val="00476CF5"/>
    <w:rsid w:val="004A2EC0"/>
    <w:rsid w:val="004B1FA5"/>
    <w:rsid w:val="004B5429"/>
    <w:rsid w:val="004F1E42"/>
    <w:rsid w:val="00506C00"/>
    <w:rsid w:val="00541B96"/>
    <w:rsid w:val="005451C3"/>
    <w:rsid w:val="00550FC2"/>
    <w:rsid w:val="00551DC7"/>
    <w:rsid w:val="00571B40"/>
    <w:rsid w:val="0059302B"/>
    <w:rsid w:val="005B567C"/>
    <w:rsid w:val="005E514C"/>
    <w:rsid w:val="0060219B"/>
    <w:rsid w:val="0061159B"/>
    <w:rsid w:val="00612CBA"/>
    <w:rsid w:val="006379FD"/>
    <w:rsid w:val="006602FC"/>
    <w:rsid w:val="00690D34"/>
    <w:rsid w:val="006928EA"/>
    <w:rsid w:val="006B02A1"/>
    <w:rsid w:val="006C4C1D"/>
    <w:rsid w:val="006E4062"/>
    <w:rsid w:val="006E6647"/>
    <w:rsid w:val="007257AD"/>
    <w:rsid w:val="00752485"/>
    <w:rsid w:val="00774E3F"/>
    <w:rsid w:val="00784520"/>
    <w:rsid w:val="007B48E9"/>
    <w:rsid w:val="007C2E43"/>
    <w:rsid w:val="007E28CE"/>
    <w:rsid w:val="007E579E"/>
    <w:rsid w:val="007F621E"/>
    <w:rsid w:val="00833B87"/>
    <w:rsid w:val="00860677"/>
    <w:rsid w:val="0087303D"/>
    <w:rsid w:val="00877A85"/>
    <w:rsid w:val="008E67F6"/>
    <w:rsid w:val="009037F5"/>
    <w:rsid w:val="00913353"/>
    <w:rsid w:val="00963006"/>
    <w:rsid w:val="009716B4"/>
    <w:rsid w:val="009B2331"/>
    <w:rsid w:val="00A177D8"/>
    <w:rsid w:val="00AB4D0F"/>
    <w:rsid w:val="00B1759A"/>
    <w:rsid w:val="00B2065B"/>
    <w:rsid w:val="00B468FC"/>
    <w:rsid w:val="00BA08CB"/>
    <w:rsid w:val="00C53DB9"/>
    <w:rsid w:val="00C61B22"/>
    <w:rsid w:val="00D53E87"/>
    <w:rsid w:val="00DA7A6E"/>
    <w:rsid w:val="00DF12C7"/>
    <w:rsid w:val="00E003D2"/>
    <w:rsid w:val="00E15134"/>
    <w:rsid w:val="00E177D8"/>
    <w:rsid w:val="00E43306"/>
    <w:rsid w:val="00E45004"/>
    <w:rsid w:val="00E7382A"/>
    <w:rsid w:val="00E85EAE"/>
    <w:rsid w:val="00EB5E8C"/>
    <w:rsid w:val="00ED0FC4"/>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1D41ACA"/>
    <w:rsid w:val="38677F3C"/>
    <w:rsid w:val="46791F9D"/>
    <w:rsid w:val="48A759E8"/>
    <w:rsid w:val="4B2500E2"/>
    <w:rsid w:val="530807FB"/>
    <w:rsid w:val="5AB30825"/>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2006</Words>
  <Characters>2217</Characters>
  <Lines>18</Lines>
  <Paragraphs>5</Paragraphs>
  <TotalTime>22</TotalTime>
  <ScaleCrop>false</ScaleCrop>
  <LinksUpToDate>false</LinksUpToDate>
  <CharactersWithSpaces>2292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2023-08-04T02:53:00Z</dcterms:created>
  <dc:creator>5idn</dc:creator>
  <cp:lastModifiedBy>微尘</cp:lastModifiedBy>
  <cp:lastPrinted>2019-10-30T14:07:00Z</cp:lastPrinted>
  <dcterms:modified xsi:type="dcterms:W3CDTF">2023-08-22T08:06:48Z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1077A6C1D26F40ACBAE865E7CBCA1229_13</vt:lpwstr>
  </property>
</Properties>
</file>