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  <w:t>2022届共有毕业生人数2621人，其中升学1766人，就业人数812人，其中，参军17人，就业率98.4%；对口就业、升学2373人，对口就业率92.05%；本市就业人数685人，占就业人数的84.35%，用人单位满意度达91.85%。一是多渠道、多形式开展学生就业创业指导。开好就业指导课，发挥就业指导课在就业择业创业教育中的重要作用。邀请企业界和优秀毕业生代表来校开展就业创业指导或举办报告会，鼓励和支持毕业生自立自强、多渠道就业。二是开展“一对一”的个性化指导与服务，直接听取和解答“双困生”在求职择业过程中的需求与疑问，切实帮助他们解决经济上、心理上、求职技巧上的实际困难。三是学校为毕业生推荐了5000多个高质量的就业岗位供毕业生选择。据统计，学校2022年毕业生进入聊城及山东周边地区就业的占到92.5%，从事高端装备、智能制造、信息技术、新能源汽车、现代建筑、电子商务、物流和医养健康等产业的人数增加，所占比例毕业生总数的90%以上，毕业生对口就业、高端就业的趋势增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Dc3MTdkMzQ4ZTZkYTI5YzFlNDNmMzg2OTIyODIifQ=="/>
  </w:docVars>
  <w:rsids>
    <w:rsidRoot w:val="0D0B07AC"/>
    <w:rsid w:val="0D0B07AC"/>
    <w:rsid w:val="18A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451</Characters>
  <Lines>0</Lines>
  <Paragraphs>0</Paragraphs>
  <TotalTime>6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2023-04-14T01:56:00Z</dcterms:created>
  <dc:creator>善林</dc:creator>
  <cp:lastModifiedBy>善林</cp:lastModifiedBy>
  <dcterms:modified xsi:type="dcterms:W3CDTF">2023-04-14T02:04:11Z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4D9609455974444B9D1F5C05919B6B41_11</vt:lpwstr>
  </property>
</Properties>
</file>