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BBC2D2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6"/>
          <w:szCs w:val="36"/>
        </w:rPr>
      </w:pPr>
    </w:p>
    <w:p w14:paraId="741B2D0A">
      <w:pPr>
        <w:pStyle w:val="47"/>
        <w:ind w:firstLine="0" w:firstLineChars="0"/>
        <w:jc w:val="center"/>
        <w:rPr>
          <w:rFonts w:ascii="黑体" w:hAnsi="黑体" w:eastAsia="黑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后勤楼膜结构车棚项目采购项目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47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28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八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4C98DB2A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后勤楼膜结构车棚项目采购项目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numId w:val="0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二、</w:t>
      </w:r>
      <w:r>
        <w:rPr>
          <w:rFonts w:hint="eastAsia" w:ascii="宋体" w:hAnsi="宋体"/>
          <w:sz w:val="24"/>
          <w:szCs w:val="24"/>
        </w:rPr>
        <w:t>项目名称：后勤楼膜结构车棚项目采购项目材料概况</w:t>
      </w:r>
    </w:p>
    <w:p w14:paraId="7B52E3B8">
      <w:pPr>
        <w:numPr>
          <w:numId w:val="0"/>
        </w:numPr>
        <w:adjustRightInd w:val="0"/>
        <w:snapToGrid w:val="0"/>
        <w:spacing w:line="560" w:lineRule="exact"/>
        <w:jc w:val="left"/>
        <w:rPr>
          <w:rFonts w:ascii="宋体"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三、</w:t>
      </w:r>
      <w:bookmarkStart w:id="2" w:name="_GoBack"/>
      <w:bookmarkEnd w:id="2"/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/>
          <w:sz w:val="24"/>
          <w:szCs w:val="24"/>
        </w:rPr>
        <w:t>一</w:t>
      </w:r>
      <w:r>
        <w:rPr>
          <w:rFonts w:hint="eastAsia" w:ascii="宋体" w:hAnsi="宋体"/>
          <w:sz w:val="24"/>
          <w:szCs w:val="24"/>
        </w:rPr>
        <w:t>个包：后勤楼膜结构车棚项目采购项目，详见项目说明。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）供应商需具有合格的营业执照及相应的经营范围；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五、获取采购文件及报名时间、报名方式等事项要求：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1）获取采购文件及报名时间：2026年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日-2026年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日（北京时间），每日上午8:30-11:30，下午14:30-17:30（北京时间）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）报名方式：邮箱报名，报名邮箱：lcsjsxyzbb@lc.shandong.cn，邮件主题：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0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28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车棚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-公司名称</w:t>
      </w:r>
      <w:r>
        <w:rPr>
          <w:rFonts w:hint="eastAsia" w:ascii="宋体" w:hAnsi="宋体"/>
          <w:color w:val="auto"/>
          <w:sz w:val="24"/>
          <w:szCs w:val="24"/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3）咨询电话：</w:t>
      </w:r>
      <w:r>
        <w:rPr>
          <w:rFonts w:ascii="宋体" w:hAnsi="宋体"/>
          <w:color w:val="auto"/>
          <w:sz w:val="24"/>
          <w:szCs w:val="24"/>
        </w:rPr>
        <w:t>0635-850</w:t>
      </w:r>
      <w:r>
        <w:rPr>
          <w:rFonts w:hint="eastAsia" w:ascii="宋体" w:hAnsi="宋体"/>
          <w:color w:val="auto"/>
          <w:sz w:val="24"/>
          <w:szCs w:val="24"/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六、谈判日期：2026年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21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七、递交响应文件及谈判地点：聊城市技师学院汇智楼A401室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九、其他注意事项</w:t>
      </w:r>
      <w:r>
        <w:rPr>
          <w:rFonts w:hint="eastAsia" w:ascii="宋体" w:hAnsi="宋体"/>
          <w:b/>
          <w:bCs/>
          <w:sz w:val="28"/>
          <w:szCs w:val="28"/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sz w:val="32"/>
          <w:szCs w:val="32"/>
        </w:rPr>
      </w:pPr>
      <w:r>
        <w:rPr>
          <w:rFonts w:ascii="宋体" w:hAnsi="宋体"/>
          <w:sz w:val="24"/>
          <w:szCs w:val="24"/>
        </w:rPr>
        <w:t xml:space="preserve">            </w:t>
      </w:r>
      <w:r>
        <w:rPr>
          <w:rFonts w:ascii="宋体" w:hAnsi="宋体"/>
          <w:color w:val="auto"/>
          <w:sz w:val="24"/>
          <w:szCs w:val="24"/>
        </w:rPr>
        <w:t xml:space="preserve">                      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    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bookmarkEnd w:id="0"/>
      <w:bookmarkStart w:id="1" w:name="_Toc232666482"/>
    </w:p>
    <w:p w14:paraId="478AB3AC">
      <w:pPr>
        <w:spacing w:line="480" w:lineRule="auto"/>
        <w:jc w:val="center"/>
        <w:rPr>
          <w:b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65F40811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后勤楼膜结构车棚项目采购项目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本项目共一个标段，主要内容为后勤楼膜结构车棚项目采购项目。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  <w:lang w:val="en-US" w:eastAsia="zh-CN"/>
              </w:rPr>
              <w:t>36000</w:t>
            </w: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2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接采购人通知合同签订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 xml:space="preserve">后 </w:t>
            </w:r>
            <w:r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天完成供货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并建设完成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总价包死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工程完工验收合格、审计完毕后，支付至工程总款额90%，剩余10%待两年质保期满且无质量问题无息付清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日-2026年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（北京时间），每日上午8:30-11:30，下午14:30-17:30（北京时间）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财政性资金 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47"/>
        <w:ind w:firstLine="0" w:firstLineChars="0"/>
      </w:pPr>
    </w:p>
    <w:p w14:paraId="0C9DE5E7">
      <w:pPr>
        <w:pStyle w:val="47"/>
        <w:ind w:firstLine="0" w:firstLineChars="0"/>
      </w:pPr>
    </w:p>
    <w:p w14:paraId="09A4E5DD">
      <w:pPr>
        <w:pStyle w:val="47"/>
        <w:ind w:firstLine="0" w:firstLineChars="0"/>
      </w:pPr>
    </w:p>
    <w:p w14:paraId="2E0B4CC2">
      <w:pPr>
        <w:pStyle w:val="47"/>
        <w:ind w:firstLine="0" w:firstLineChars="0"/>
      </w:pPr>
    </w:p>
    <w:p w14:paraId="4A356951">
      <w:pPr>
        <w:pStyle w:val="47"/>
        <w:ind w:firstLine="0" w:firstLineChars="0"/>
      </w:pPr>
    </w:p>
    <w:p w14:paraId="5FD37CA8">
      <w:pPr>
        <w:pStyle w:val="47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47"/>
        <w:ind w:firstLine="400"/>
      </w:pPr>
    </w:p>
    <w:p w14:paraId="7C770C1B">
      <w:pPr>
        <w:pStyle w:val="47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47"/>
        <w:ind w:firstLine="400"/>
      </w:pPr>
    </w:p>
    <w:p w14:paraId="36BC5374">
      <w:pPr>
        <w:pStyle w:val="47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142"/>
        <w:gridCol w:w="4238"/>
        <w:gridCol w:w="519"/>
        <w:gridCol w:w="672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4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技术参数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A55E8F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需求数量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 w14:paraId="43E17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2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5319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4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2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后勤楼膜结构车棚项目</w:t>
            </w:r>
          </w:p>
        </w:tc>
        <w:tc>
          <w:tcPr>
            <w:tcW w:w="4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9420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一、项目概况</w:t>
            </w:r>
          </w:p>
          <w:p w14:paraId="09E598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本项目选址学院后勤楼东侧区域，平面尺寸：南北总长 30m，总宽度 3m；建筑高度最低 2.1m、最高 2.6m，招标控制价：3</w:t>
            </w:r>
            <w:r>
              <w:rPr>
                <w:rFonts w:hint="eastAsia"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.6万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元。车棚外立面造型按照甲方指定效果图</w:t>
            </w:r>
            <w:r>
              <w:rPr>
                <w:rFonts w:hint="eastAsia"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施工，钢结构</w:t>
            </w:r>
            <w:r>
              <w:rPr>
                <w:rFonts w:hint="eastAsia"/>
                <w:color w:val="1F2329"/>
                <w:sz w:val="24"/>
                <w:szCs w:val="24"/>
                <w:lang w:val="en-US" w:eastAsia="zh-CN"/>
              </w:rPr>
              <w:t>面漆为白色。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。</w:t>
            </w:r>
          </w:p>
          <w:p w14:paraId="3AF60A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施工图纸由中标单位负责设计，亦可委托具备相应设计资质第三方设计院完成；正式施工图包含基础、钢结构、</w:t>
            </w:r>
            <w:r>
              <w:rPr>
                <w:color w:val="1F2329"/>
                <w:sz w:val="24"/>
                <w:szCs w:val="24"/>
              </w:rPr>
              <w:t>膜材技术要求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，图纸须报送甲方审核确认通过后方可组织进场施工。项目设计、施工、竣工验收全过程严格执行现行国家规范及山东省地方相关建设标准。</w:t>
            </w:r>
          </w:p>
          <w:p w14:paraId="65EEDC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二、主体钢结构技术标准</w:t>
            </w:r>
          </w:p>
          <w:p w14:paraId="12AE6078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b w:val="0"/>
                <w:bCs w:val="0"/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竖向承重立柱采用 H 型钢，截面规格不低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于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H230×100×5×5mm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；允许选用材质等级、截面承载力等同或性能更优国标型材。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结构设计使用年限 50 年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。</w:t>
            </w:r>
          </w:p>
          <w:p w14:paraId="3950CDE0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钢结构采用专业户外长效防腐体系。可选工艺：喷砂涂装体系、热镀锌加面漆、新型高耐候防腐体系或其他等效合规工艺；中标单位开工前提交防腐专项施工方案，经甲方审批后方可施工。</w:t>
            </w:r>
          </w:p>
          <w:p w14:paraId="0964D368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钢结构所有焊接节点采用满焊施工，焊缝密实平整，严禁出现夹渣、气孔、裂纹、虚焊、漏焊等质量缺陷。车棚抗风压、雪荷载依据现行《建筑结构荷载规范》及山东省地方规范开展设计验算。</w:t>
            </w:r>
          </w:p>
          <w:p w14:paraId="2FCA7A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三、膜面主材技术要求</w:t>
            </w:r>
          </w:p>
          <w:p w14:paraId="474B86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顶棚张拉膜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为车棚专用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PVDF 膜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。</w:t>
            </w:r>
            <w:r>
              <w:rPr>
                <w:rStyle w:val="51"/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户外耐候设计使用年限≥10 年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具备自清洁、抗紫外线、耐老化、防水防渗、阻燃防火性能。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膜材面密度≥</w:t>
            </w:r>
            <w:r>
              <w:rPr>
                <w:rStyle w:val="51"/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1000g/㎡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投标人亦可选用规格、性能更高的车棚专用膜材</w:t>
            </w:r>
            <w:r>
              <w:rPr>
                <w:color w:val="1F2329"/>
                <w:sz w:val="24"/>
                <w:szCs w:val="24"/>
              </w:rPr>
              <w:t>。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施工前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施工单位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提供膜材第三方正规检测报告，并出具</w:t>
            </w:r>
            <w:r>
              <w:rPr>
                <w:rStyle w:val="51"/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10 年户外耐候整体质保书面承诺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。</w:t>
            </w:r>
          </w:p>
          <w:p w14:paraId="072688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四、混凝土基础工程</w:t>
            </w:r>
          </w:p>
          <w:p w14:paraId="27E012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钢柱独立基础混凝土强度等级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不低于</w:t>
            </w:r>
            <w:r>
              <w:rPr>
                <w:rStyle w:val="51"/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C30 商品混凝土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；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开工前结合现场地质实际情况确定基础埋置深度。基础浇筑完成后规范养护，混凝土达到设计强度标准值，方可开展上部钢结构吊装安装。</w:t>
            </w:r>
          </w:p>
          <w:p w14:paraId="1C53EC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五、电瓶车充电桩配套系统</w:t>
            </w:r>
          </w:p>
          <w:p w14:paraId="03FC80A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设备基本参数</w:t>
            </w:r>
          </w:p>
          <w:p w14:paraId="6FB52A57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整机满足露天户外环境使用，防护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等级≥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IP54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；</w:t>
            </w:r>
            <w:r>
              <w:rPr>
                <w:color w:val="1F2329"/>
                <w:sz w:val="24"/>
                <w:szCs w:val="24"/>
              </w:rPr>
              <w:t>支持刷卡、扫码双模式付费；配套刷卡管理终端 + 实体充电卡 100 张，可实现校园发卡、挂失、充值、注销等完整运维管理功能。</w:t>
            </w:r>
          </w:p>
          <w:p w14:paraId="5AF98803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b w:val="0"/>
                <w:bCs w:val="0"/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设备输出回路可同时满足 20 台电瓶车安全充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电，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单回路独立供电、独立保护，回路之间互不干扰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。</w:t>
            </w:r>
          </w:p>
          <w:p w14:paraId="1C2D17AB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内置智能控制系统，支持远程查看充电状态、订单查询、用电数据统计、故障告警、费率自定义、卡片权限管理、远程启停等全套管理功能。</w:t>
            </w:r>
          </w:p>
          <w:p w14:paraId="377DAB24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每路充电回路集成充满自停、过流、过压、短路、漏电、过载多重安全保护；单回路故障独立断电隔离，不影响其余回路正常工作，保障校园用电安全。</w:t>
            </w:r>
          </w:p>
          <w:p w14:paraId="475C92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六、电力电缆敷设要求</w:t>
            </w:r>
          </w:p>
          <w:p w14:paraId="1D6F7450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电源接引点位为后勤楼东侧物业办公室现有配电点位，项目单独设置专用配电箱，设立独立供电回路。</w:t>
            </w:r>
          </w:p>
          <w:p w14:paraId="3219D5AB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主干电缆采用国标铜芯阻燃电力电缆，电压等级 0.6/1kV，规格不小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于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3×10mm²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；</w:t>
            </w:r>
            <w:r>
              <w:rPr>
                <w:color w:val="1F2329"/>
                <w:sz w:val="24"/>
                <w:szCs w:val="24"/>
              </w:rPr>
              <w:t>阻燃等级、载流量、绝缘性能满足或高于现行国家标准，可采用规格更高、性能等同国标阻燃电缆替代。</w:t>
            </w:r>
          </w:p>
          <w:p w14:paraId="7923C6A9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电缆依据现场路径穿管埋地敷设，全过程做好绝缘、防水、接地保护。投标人自行现场踏勘，充分预估线缆长度及各类施工风险；电缆敷设所有相关费用全部纳入固定总价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，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不据实调整、无额外增项费用</w:t>
            </w:r>
            <w:r>
              <w:rPr>
                <w:color w:val="1F2329"/>
                <w:sz w:val="24"/>
                <w:szCs w:val="24"/>
              </w:rPr>
              <w:t>。线缆两端设置清晰规范标识，完善整套接地系统。电气施工结束后开展绝缘电阻测试，检测合格方可通电及竣工验收。</w:t>
            </w:r>
          </w:p>
          <w:p w14:paraId="4AC182AC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2"/>
                <w:szCs w:val="22"/>
              </w:rPr>
            </w:pPr>
          </w:p>
          <w:p w14:paraId="281D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51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37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</w:t>
            </w:r>
          </w:p>
        </w:tc>
        <w:tc>
          <w:tcPr>
            <w:tcW w:w="6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1B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EC6A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4B749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207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7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0A004053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  <w:highlight w:val="none"/>
        </w:rPr>
      </w:pPr>
    </w:p>
    <w:p w14:paraId="795FE70B">
      <w:pPr>
        <w:pStyle w:val="259"/>
        <w:numPr>
          <w:ilvl w:val="0"/>
          <w:numId w:val="9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项目说明：</w:t>
      </w:r>
    </w:p>
    <w:p w14:paraId="504572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color w:val="1F2329"/>
          <w:sz w:val="24"/>
          <w:szCs w:val="24"/>
        </w:rPr>
      </w:pPr>
      <w:r>
        <w:rPr>
          <w:rFonts w:hint="eastAsia"/>
          <w:color w:val="1F2329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宋体" w:hAnsi="宋体" w:eastAsia="宋体" w:cs="宋体"/>
          <w:color w:val="1F2329"/>
          <w:kern w:val="0"/>
          <w:sz w:val="24"/>
          <w:szCs w:val="24"/>
          <w:highlight w:val="none"/>
          <w:lang w:val="en-US" w:eastAsia="zh-CN"/>
        </w:rPr>
        <w:t>本项目采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highlight w:val="none"/>
          <w:lang w:val="en-US" w:eastAsia="zh-CN"/>
        </w:rPr>
        <w:t>用</w:t>
      </w:r>
      <w:r>
        <w:rPr>
          <w:rStyle w:val="51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highlight w:val="none"/>
          <w:lang w:val="en-US" w:eastAsia="zh-CN"/>
        </w:rPr>
        <w:t>固定总价包干交钥匙工程模式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ascii="宋体" w:hAnsi="宋体" w:eastAsia="宋体" w:cs="宋体"/>
          <w:color w:val="1F2329"/>
          <w:kern w:val="0"/>
          <w:sz w:val="24"/>
          <w:szCs w:val="24"/>
          <w:highlight w:val="none"/>
          <w:lang w:val="en-US" w:eastAsia="zh-CN"/>
        </w:rPr>
        <w:t>投标人须具备项目深化设计、施工、设备安装、系统调试、竣工验收交付全流程实施能力；允许依法合规进行专业工序分包，总承包单位对项目质量、安全生产、施工进度、文明施工、成品保护、质</w:t>
      </w: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/>
        </w:rPr>
        <w:t>保维修承担全部责任。</w:t>
      </w:r>
    </w:p>
    <w:p w14:paraId="6C178E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/>
        </w:rPr>
        <w:t>中标总价一次性包干固定不变。价款包含完成本项目全部工作内容的人工费、主材费、辅材费、机械使用费、施工图深化设计费、材料检测检验费、运输装卸费、安装调试费、电缆敷设、接地系统施工、安全文明施工措施费、建筑垃圾清运、成品保护、质保维保、税金、企业管理费、利润以及所有配套不可预见费。项目实施、验收全过程，甲方不再支付任何追加、增补费用。</w:t>
      </w:r>
    </w:p>
    <w:p w14:paraId="3511D38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default" w:eastAsia="宋体"/>
          <w:lang w:val="en-US" w:eastAsia="zh-CN"/>
        </w:rPr>
      </w:pPr>
    </w:p>
    <w:p w14:paraId="4C4F1592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jc w:val="center"/>
      </w:pPr>
      <w:r>
        <w:drawing>
          <wp:inline distT="0" distB="0" distL="0" distR="0">
            <wp:extent cx="3863975" cy="3286125"/>
            <wp:effectExtent l="0" t="0" r="3175" b="9525"/>
            <wp:docPr id="1027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3975" cy="3286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34575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jc w:val="center"/>
      </w:pPr>
    </w:p>
    <w:p w14:paraId="16B54AF6">
      <w:pPr>
        <w:pStyle w:val="259"/>
        <w:numPr>
          <w:ilvl w:val="0"/>
          <w:numId w:val="10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/>
          <w:sz w:val="44"/>
        </w:rPr>
      </w:pPr>
      <w:r>
        <w:rPr>
          <w:rFonts w:hint="eastAsia"/>
          <w:b/>
          <w:color w:val="000000"/>
          <w:sz w:val="44"/>
        </w:rPr>
        <w:t>货物清单：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400"/>
        <w:gridCol w:w="3723"/>
        <w:gridCol w:w="843"/>
        <w:gridCol w:w="855"/>
        <w:gridCol w:w="741"/>
        <w:gridCol w:w="866"/>
        <w:gridCol w:w="606"/>
      </w:tblGrid>
      <w:tr w14:paraId="0031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技术参数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需求数量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单价（元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后勤楼膜结构车棚项目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B6D9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一、项目概况</w:t>
            </w:r>
          </w:p>
          <w:p w14:paraId="0CC7C6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本项目选址学院后勤楼东侧区域，平面尺寸：南北总长 30m，总宽度 3m；建筑高度最低 2.1m、最高 2.6m，招标控制价：3</w:t>
            </w:r>
            <w:r>
              <w:rPr>
                <w:rFonts w:hint="eastAsia"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.6万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元。车棚外立面造型按照甲方指定效果图</w:t>
            </w:r>
            <w:r>
              <w:rPr>
                <w:rFonts w:hint="eastAsia"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施工，钢结构</w:t>
            </w:r>
            <w:r>
              <w:rPr>
                <w:rFonts w:hint="eastAsia"/>
                <w:color w:val="1F2329"/>
                <w:sz w:val="24"/>
                <w:szCs w:val="24"/>
                <w:lang w:val="en-US" w:eastAsia="zh-CN"/>
              </w:rPr>
              <w:t>面漆为白色。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。</w:t>
            </w:r>
          </w:p>
          <w:p w14:paraId="6FFB27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施工图纸由中标单位负责设计，亦可委托具备相应设计资质第三方设计院完成；正式施工图包含基础、钢结构、</w:t>
            </w:r>
            <w:r>
              <w:rPr>
                <w:color w:val="1F2329"/>
                <w:sz w:val="24"/>
                <w:szCs w:val="24"/>
              </w:rPr>
              <w:t>膜材技术要求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，图纸须报送甲方审核确认通过后方可组织进场施工。项目设计、施工、竣工验收全过程严格执行现行国家规范及山东省地方相关建设标准。</w:t>
            </w:r>
          </w:p>
          <w:p w14:paraId="5C0E16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二、主体钢结构技术标准</w:t>
            </w:r>
          </w:p>
          <w:p w14:paraId="56DB7526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b w:val="0"/>
                <w:bCs w:val="0"/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竖向承重立柱采用 H 型钢，截面规格不低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于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H230×100×5×5mm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；允许选用材质等级、截面承载力等同或性能更优国标型材。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结构设计使用年限 50 年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。</w:t>
            </w:r>
          </w:p>
          <w:p w14:paraId="6532A061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钢结构采用专业户外长效防腐体系。可选工艺：喷砂涂装体系、热镀锌加面漆、新型高耐候防腐体系或其他等效合规工艺；中标单位开工前提交防腐专项施工方案，经甲方审批后方可施工。</w:t>
            </w:r>
          </w:p>
          <w:p w14:paraId="0B8D061A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钢结构所有焊接节点采用满焊施工，焊缝密实平整，严禁出现夹渣、气孔、裂纹、虚焊、漏焊等质量缺陷。车棚抗风压、雪荷载依据现行《建筑结构荷载规范》及山东省地方规范开展设计验算。</w:t>
            </w:r>
          </w:p>
          <w:p w14:paraId="00363A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三、膜面主材技术要求</w:t>
            </w:r>
          </w:p>
          <w:p w14:paraId="4B0725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顶棚张拉膜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为车棚专用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PVDF 膜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。</w:t>
            </w:r>
            <w:r>
              <w:rPr>
                <w:rStyle w:val="51"/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户外耐候设计使用年限≥10 年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具备自清洁、抗紫外线、耐老化、防水防渗、阻燃防火性能。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膜材面密度≥</w:t>
            </w:r>
            <w:r>
              <w:rPr>
                <w:rStyle w:val="51"/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1000g/㎡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投标人亦可选用规格、性能更高的车棚专用膜材</w:t>
            </w:r>
            <w:r>
              <w:rPr>
                <w:color w:val="1F2329"/>
                <w:sz w:val="24"/>
                <w:szCs w:val="24"/>
              </w:rPr>
              <w:t>。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施工前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施工单位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提供膜材第三方正规检测报告，并出具</w:t>
            </w:r>
            <w:r>
              <w:rPr>
                <w:rStyle w:val="51"/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10 年户外耐候整体质保书面承诺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。</w:t>
            </w:r>
          </w:p>
          <w:p w14:paraId="26ED6F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四、混凝土基础工程</w:t>
            </w:r>
          </w:p>
          <w:p w14:paraId="7ECF41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钢柱独立基础混凝土强度等级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不低于</w:t>
            </w:r>
            <w:r>
              <w:rPr>
                <w:rStyle w:val="51"/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C30 商品混凝土</w:t>
            </w:r>
            <w:r>
              <w:rPr>
                <w:rFonts w:ascii="宋体" w:hAnsi="宋体" w:eastAsia="宋体" w:cs="宋体"/>
                <w:b w:val="0"/>
                <w:bCs w:val="0"/>
                <w:color w:val="1F2329"/>
                <w:kern w:val="0"/>
                <w:sz w:val="24"/>
                <w:szCs w:val="24"/>
                <w:lang w:val="en-US" w:eastAsia="zh-CN"/>
              </w:rPr>
              <w:t>；</w:t>
            </w:r>
            <w:r>
              <w:rPr>
                <w:rFonts w:ascii="宋体" w:hAnsi="宋体" w:eastAsia="宋体" w:cs="宋体"/>
                <w:color w:val="1F2329"/>
                <w:kern w:val="0"/>
                <w:sz w:val="24"/>
                <w:szCs w:val="24"/>
                <w:lang w:val="en-US" w:eastAsia="zh-CN"/>
              </w:rPr>
              <w:t>开工前结合现场地质实际情况确定基础埋置深度。基础浇筑完成后规范养护，混凝土达到设计强度标准值，方可开展上部钢结构吊装安装。</w:t>
            </w:r>
          </w:p>
          <w:p w14:paraId="60DBEB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五、电瓶车充电桩配套系统</w:t>
            </w:r>
          </w:p>
          <w:p w14:paraId="28C343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设备基本参数</w:t>
            </w:r>
          </w:p>
          <w:p w14:paraId="553A28D8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整机满足露天户外环境使用，防护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等级≥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IP54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；</w:t>
            </w:r>
            <w:r>
              <w:rPr>
                <w:color w:val="1F2329"/>
                <w:sz w:val="24"/>
                <w:szCs w:val="24"/>
              </w:rPr>
              <w:t>支持刷卡、扫码双模式付费；配套刷卡管理终端 + 实体充电卡 100 张，可实现校园发卡、挂失、充值、注销等完整运维管理功能。</w:t>
            </w:r>
          </w:p>
          <w:p w14:paraId="223F71E7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b w:val="0"/>
                <w:bCs w:val="0"/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设备输出回路可同时满足 20 台电瓶车安全充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电，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单回路独立供电、独立保护，回路之间互不干扰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。</w:t>
            </w:r>
          </w:p>
          <w:p w14:paraId="39F58916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内置智能控制系统，支持远程查看充电状态、订单查询、用电数据统计、故障告警、费率自定义、卡片权限管理、远程启停等全套管理功能。</w:t>
            </w:r>
          </w:p>
          <w:p w14:paraId="1FB1361F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每路充电回路集成充满自停、过流、过压、短路、漏电、过载多重安全保护；单回路故障独立断电隔离，不影响其余回路正常工作，保障校园用电安全。</w:t>
            </w:r>
          </w:p>
          <w:p w14:paraId="7AD06C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六、电力电缆敷设要求</w:t>
            </w:r>
          </w:p>
          <w:p w14:paraId="4A8C27BF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电源接引点位为后勤楼东侧物业办公室现有配电点位，项目单独设置专用配电箱，设立独立供电回路。</w:t>
            </w:r>
          </w:p>
          <w:p w14:paraId="15A35FF4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color w:val="1F2329"/>
                <w:sz w:val="24"/>
                <w:szCs w:val="24"/>
              </w:rPr>
            </w:pPr>
            <w:r>
              <w:rPr>
                <w:color w:val="1F2329"/>
                <w:sz w:val="24"/>
                <w:szCs w:val="24"/>
              </w:rPr>
              <w:t>主干电缆采用国标铜芯阻燃电力电缆，电压等级 0.6/1kV，规格不小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于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3×10mm²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；</w:t>
            </w:r>
            <w:r>
              <w:rPr>
                <w:color w:val="1F2329"/>
                <w:sz w:val="24"/>
                <w:szCs w:val="24"/>
              </w:rPr>
              <w:t>阻燃等级、载流量、绝缘性能满足或高于现行国家标准，可采用规格更高、性能等同国标阻燃电缆替代。</w:t>
            </w:r>
          </w:p>
          <w:p w14:paraId="559D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color w:val="1F2329"/>
                <w:sz w:val="24"/>
                <w:szCs w:val="24"/>
              </w:rPr>
              <w:t>电缆依据现场路径穿管埋地敷设，全过程做好绝缘、防水、接地保护。投标人自行现场踏勘，充分预估线缆长度及各类施工风险；电缆敷设所有相关费用全部纳入固定总价</w:t>
            </w:r>
            <w:r>
              <w:rPr>
                <w:b w:val="0"/>
                <w:bCs w:val="0"/>
                <w:color w:val="1F2329"/>
                <w:sz w:val="24"/>
                <w:szCs w:val="24"/>
              </w:rPr>
              <w:t>，</w:t>
            </w:r>
            <w:r>
              <w:rPr>
                <w:rStyle w:val="51"/>
                <w:b w:val="0"/>
                <w:bCs w:val="0"/>
                <w:color w:val="1F2329"/>
                <w:sz w:val="24"/>
                <w:szCs w:val="24"/>
              </w:rPr>
              <w:t>不据实调整、无额外增项费用</w:t>
            </w:r>
            <w:r>
              <w:rPr>
                <w:color w:val="1F2329"/>
                <w:sz w:val="24"/>
                <w:szCs w:val="24"/>
              </w:rPr>
              <w:t>。线缆两端设置清晰规范标识，完善整套接地系统。电气施工结束后开展绝缘电阻测试，检测合格方可通电及竣工验收。</w:t>
            </w:r>
          </w:p>
        </w:tc>
        <w:tc>
          <w:tcPr>
            <w:tcW w:w="85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1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3F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3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36000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36000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AF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pacing w:val="0"/>
                <w:sz w:val="24"/>
                <w:szCs w:val="24"/>
                <w:lang w:val="en-US" w:eastAsia="zh-CN"/>
              </w:rPr>
              <w:t>36000</w:t>
            </w: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元</w:t>
            </w:r>
          </w:p>
        </w:tc>
      </w:tr>
    </w:tbl>
    <w:p w14:paraId="0BB8FF55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本报价为包括含运输、搬运、拆卸、安装等人工费及配件、附件费等。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47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11FADF8B">
      <w:pPr>
        <w:pStyle w:val="47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0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002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1"/>
      <w:tabs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1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1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4097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4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59264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Di0x3r3AEAANwDAAAOAAAAZHJzL2Uyb0RvYy54bWyt&#10;U01v2zAMvQ/YfxB0X+ymTdYacXpo1l2KLUC3H8BIsi1AXxCVOPn3o+Qs3bpLDvNBpsTHR/JRWj0e&#10;rWEHFVF71/KbWc2ZcsJL7fqW//zx/OmeM0zgJBjvVMtPCvnj+uOH1RgaNfeDN1JFRiQOmzG0fEgp&#10;NFWFYlAWcOaDcuTsfLSQaBv7SkYYid2aal7Xy2r0UYbohUKk083k5GfGeA2h7zot1MaLvVUuTaxR&#10;GUjUEg46IF+XartOifS961AlZlpOnaayUhKyd3mt1ito+ghh0OJcAlxTwrueLGhHSS9UG0jA9lH/&#10;Q2W1iB59l2bC22pqpChCXdzU77R5HSCo0gtJjeEiOv4/WvHtsI1My5bf1Q+fOXNgaeYv2il2m8UZ&#10;AzaEeXLbeN5h2Mbc6bGLNv+pB3Ysgp4ugqpjYoIOl/P75aImrQX5lrd3mbF6Cw0R01flLctGyw1l&#10;LSLC4QXTBP0NyZmMY2PLHxbzBRECXb2ORk6mDVQ+ur7EojdaPmtjcgTGfvdkIjtAHn/5ziX8BctJ&#10;NoDDhCuuDIMm+r2TxRoUyC9OsnQKpI+jl8FzMVZJzoyih5StgkygzTVI0sE4kiMrPGmarZ2XpyJ1&#10;OaehF8HOFzTfqj/3JfrtUa5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tBA+LaAAAADQEAAA8A&#10;AAAAAAAAAQAgAAAAIgAAAGRycy9kb3ducmV2LnhtbFBLAQIUABQAAAAIAIdO4kDi0x3r3AEAANwD&#10;AAAOAAAAAAAAAAEAIAAAACkBAABkcnMvZTJvRG9jLnhtbFBLBQYAAAAABgAGAFkBAAB3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4098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59264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KpYs/GEAQAAHQMAAA4AAABkcnMvZTJvRG9jLnhtbK1STU/j&#10;MBC9I+1/sHynTqFUbNSUAxV7QWwl2B9gnHFjyV/ymKb994ydbkHshcNeJvPlN/PeZHV3cJbtIaEJ&#10;vuPzWcMZeBV643cd//PycHnLGWbpe2mDh44fAfnd+sfFaowtXIUh2B4SIxCP7Rg7PuQcWyFQDeAk&#10;zkIET0UdkpOZwrQTfZIjoTsrrppmKcaQ+piCAkTKbqYiPyGm7wAGrY2CTVBvDnyeUBNYmYkSDiYi&#10;X9dttQaVf2uNkJntODHN1dIQ8l+LFeuVbHdJxsGo0wryOyt84eSk8TT0DLWRWbK3ZP6BckalgEHn&#10;mQpOTESqIsRi3nzR5nmQESoXkhrjWXT8f7Dqab9NzPQdXzQ/6fJeOrr5o/HAFkWcMWJLPfd+m04R&#10;xm0qTA86ufIlDuxQBT2eBYVDZoqSy/n1Yt6Q1opqy+ubgig+nsaE+RcEx4rTcUtTq4hy/4h5av3b&#10;UiZZX6wPD8baqVoyoqw4LVW819Af6641T6rViacLl7N8juvrj796/Q5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zAwAAW0NvbnRlbnRfVHlwZXNd&#10;LnhtbFBLAQIUAAoAAAAAAIdO4kAAAAAAAAAAAAAAAAAGAAAAAAAAAAAAEAAAANUCAABfcmVscy9Q&#10;SwECFAAUAAAACACHTuJAihRmPNEAAACUAQAACwAAAAAAAAABACAAAAD5AgAAX3JlbHMvLnJlbHNQ&#10;SwECFAAKAAAAAACHTuJAAAAAAAAAAAAAAAAABAAAAAAAAAAAABAAAAAAAAAAZHJzL1BLAQIUABQA&#10;AAAIAIdO4kDfoH4/1gAAAAYBAAAPAAAAAAAAAAEAIAAAACIAAABkcnMvZG93bnJldi54bWxQSwEC&#10;FAAUAAAACACHTuJAqliz8YQBAAAdAwAADgAAAAAAAAABACAAAAAlAQAAZHJzL2Uyb0RvYy54bWxQ&#10;SwUGAAAAAAYABgBZAQAAGwUAAAAA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2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2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2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0000003"/>
    <w:multiLevelType w:val="singleLevel"/>
    <w:tmpl w:val="0000000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00000005"/>
    <w:multiLevelType w:val="multilevel"/>
    <w:tmpl w:val="00000005"/>
    <w:lvl w:ilvl="0" w:tentative="0">
      <w:start w:val="1"/>
      <w:numFmt w:val="decimal"/>
      <w:pStyle w:val="14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7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5">
    <w:nsid w:val="00000006"/>
    <w:multiLevelType w:val="multilevel"/>
    <w:tmpl w:val="00000006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 w:tentative="0">
      <w:start w:val="1"/>
      <w:numFmt w:val="decimal"/>
      <w:pStyle w:val="13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>
    <w:nsid w:val="00000008"/>
    <w:multiLevelType w:val="multilevel"/>
    <w:tmpl w:val="00000008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8">
    <w:nsid w:val="00000009"/>
    <w:multiLevelType w:val="singleLevel"/>
    <w:tmpl w:val="0000000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7657B"/>
    <w:rsid w:val="175B6C4E"/>
    <w:rsid w:val="69D561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qFormat="1" w:unhideWhenUsed="0" w:uiPriority="99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qFormat="1" w:unhideWhenUsed="0" w:uiPriority="99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5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6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8">
    <w:name w:val="heading 7"/>
    <w:basedOn w:val="1"/>
    <w:next w:val="9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0">
    <w:name w:val="heading 8"/>
    <w:basedOn w:val="1"/>
    <w:next w:val="9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1">
    <w:name w:val="heading 9"/>
    <w:basedOn w:val="1"/>
    <w:next w:val="9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qFormat/>
    <w:uiPriority w:val="1"/>
  </w:style>
  <w:style w:type="table" w:default="1" w:styleId="4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2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3">
    <w:name w:val="List Bullet 4"/>
    <w:basedOn w:val="1"/>
    <w:qFormat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4">
    <w:name w:val="List Number"/>
    <w:basedOn w:val="1"/>
    <w:qFormat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5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6">
    <w:name w:val="Document Map"/>
    <w:basedOn w:val="1"/>
    <w:link w:val="69"/>
    <w:qFormat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7">
    <w:name w:val="annotation text"/>
    <w:basedOn w:val="1"/>
    <w:link w:val="70"/>
    <w:qFormat/>
    <w:uiPriority w:val="99"/>
    <w:pPr>
      <w:jc w:val="left"/>
    </w:pPr>
    <w:rPr>
      <w:kern w:val="0"/>
      <w:sz w:val="20"/>
    </w:rPr>
  </w:style>
  <w:style w:type="paragraph" w:styleId="18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19">
    <w:name w:val="Body Text 3"/>
    <w:basedOn w:val="1"/>
    <w:link w:val="72"/>
    <w:qFormat/>
    <w:uiPriority w:val="99"/>
    <w:pPr>
      <w:spacing w:after="120"/>
    </w:pPr>
    <w:rPr>
      <w:kern w:val="0"/>
      <w:sz w:val="16"/>
      <w:szCs w:val="16"/>
    </w:rPr>
  </w:style>
  <w:style w:type="paragraph" w:styleId="20">
    <w:name w:val="Body Text"/>
    <w:basedOn w:val="1"/>
    <w:link w:val="73"/>
    <w:qFormat/>
    <w:uiPriority w:val="99"/>
    <w:rPr>
      <w:kern w:val="0"/>
      <w:sz w:val="20"/>
    </w:rPr>
  </w:style>
  <w:style w:type="paragraph" w:styleId="21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22">
    <w:name w:val="index 4"/>
    <w:basedOn w:val="1"/>
    <w:next w:val="1"/>
    <w:qFormat/>
    <w:uiPriority w:val="99"/>
    <w:pPr>
      <w:ind w:left="600" w:leftChars="600"/>
    </w:pPr>
    <w:rPr>
      <w:rFonts w:ascii="Calibri" w:hAnsi="Calibri"/>
    </w:rPr>
  </w:style>
  <w:style w:type="paragraph" w:styleId="23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4">
    <w:name w:val="toc 3"/>
    <w:basedOn w:val="25"/>
    <w:next w:val="25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5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6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7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8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29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0">
    <w:name w:val="Balloon Text"/>
    <w:basedOn w:val="1"/>
    <w:link w:val="77"/>
    <w:qFormat/>
    <w:uiPriority w:val="99"/>
    <w:rPr>
      <w:kern w:val="0"/>
      <w:sz w:val="2"/>
    </w:rPr>
  </w:style>
  <w:style w:type="paragraph" w:styleId="31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2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5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List"/>
    <w:basedOn w:val="1"/>
    <w:qFormat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7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8">
    <w:name w:val="Body Text Indent 3"/>
    <w:basedOn w:val="1"/>
    <w:link w:val="81"/>
    <w:qFormat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39">
    <w:name w:val="toc 2"/>
    <w:basedOn w:val="1"/>
    <w:next w:val="1"/>
    <w:qFormat/>
    <w:uiPriority w:val="99"/>
    <w:pPr>
      <w:ind w:left="420" w:leftChars="200"/>
    </w:pPr>
  </w:style>
  <w:style w:type="paragraph" w:styleId="40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1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2">
    <w:name w:val="HTML Preformatted"/>
    <w:basedOn w:val="1"/>
    <w:link w:val="83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4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5">
    <w:name w:val="annotation subject"/>
    <w:basedOn w:val="17"/>
    <w:next w:val="17"/>
    <w:link w:val="85"/>
    <w:qFormat/>
    <w:uiPriority w:val="99"/>
    <w:rPr>
      <w:rFonts w:ascii="Calibri" w:hAnsi="Calibri"/>
      <w:b/>
      <w:bCs/>
    </w:rPr>
  </w:style>
  <w:style w:type="paragraph" w:styleId="46">
    <w:name w:val="Body Text First Indent"/>
    <w:basedOn w:val="20"/>
    <w:link w:val="86"/>
    <w:qFormat/>
    <w:uiPriority w:val="99"/>
    <w:pPr>
      <w:spacing w:after="120"/>
      <w:ind w:firstLine="420" w:firstLineChars="100"/>
    </w:pPr>
    <w:rPr>
      <w:rFonts w:ascii="Calibri" w:hAnsi="Calibri"/>
    </w:rPr>
  </w:style>
  <w:style w:type="paragraph" w:styleId="47">
    <w:name w:val="Body Text First Indent 2"/>
    <w:basedOn w:val="21"/>
    <w:link w:val="68"/>
    <w:qFormat/>
    <w:uiPriority w:val="99"/>
    <w:pPr>
      <w:ind w:firstLine="420" w:firstLineChars="200"/>
    </w:p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4"/>
    <w:qFormat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3"/>
    <w:qFormat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2"/>
    <w:qFormat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5"/>
    <w:qFormat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6"/>
    <w:qFormat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7"/>
    <w:qFormat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8"/>
    <w:qFormat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0"/>
    <w:qFormat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1"/>
    <w:qFormat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21"/>
    <w:qFormat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47"/>
    <w:qFormat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6"/>
    <w:qFormat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7"/>
    <w:qFormat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18"/>
    <w:qFormat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19"/>
    <w:qFormat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0"/>
    <w:qFormat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6"/>
    <w:qFormat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8"/>
    <w:qFormat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29"/>
    <w:qFormat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0"/>
    <w:qFormat/>
    <w:uiPriority w:val="99"/>
    <w:rPr>
      <w:rFonts w:cs="Times New Roman"/>
      <w:sz w:val="2"/>
    </w:rPr>
  </w:style>
  <w:style w:type="character" w:customStyle="1" w:styleId="78">
    <w:name w:val="Footer Char_144cca04-cf9f-49a7-abc4-4eb7000636c1"/>
    <w:basedOn w:val="50"/>
    <w:qFormat/>
    <w:uiPriority w:val="99"/>
    <w:rPr>
      <w:rFonts w:cs="Times New Roman"/>
      <w:kern w:val="2"/>
      <w:sz w:val="18"/>
    </w:rPr>
  </w:style>
  <w:style w:type="character" w:customStyle="1" w:styleId="79">
    <w:name w:val="Header Char_fbc91451-f2a5-4501-bf4b-74f5441fbe21"/>
    <w:basedOn w:val="50"/>
    <w:qFormat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5"/>
    <w:qFormat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8"/>
    <w:qFormat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1"/>
    <w:qFormat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2"/>
    <w:qFormat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4"/>
    <w:qFormat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5"/>
    <w:qFormat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6"/>
    <w:qFormat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2"/>
    <w:qFormat/>
    <w:uiPriority w:val="99"/>
    <w:rPr>
      <w:sz w:val="18"/>
    </w:rPr>
  </w:style>
  <w:style w:type="character" w:customStyle="1" w:styleId="91">
    <w:name w:val="页脚 Char"/>
    <w:link w:val="31"/>
    <w:qFormat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9"/>
    <w:qFormat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qFormat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3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8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0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9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2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6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3000</Words>
  <Characters>3254</Characters>
  <Paragraphs>331</Paragraphs>
  <TotalTime>8</TotalTime>
  <ScaleCrop>false</ScaleCrop>
  <LinksUpToDate>false</LinksUpToDate>
  <CharactersWithSpaces>3339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Lumen</cp:lastModifiedBy>
  <cp:lastPrinted>2025-03-17T01:44:00Z</cp:lastPrinted>
  <dcterms:modified xsi:type="dcterms:W3CDTF">2026-08-17T07:41:22Z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A172B8A71BE846A3A5BF82E0996EA68A_13</vt:lpwstr>
  </property>
  <property fmtid="{D5CDD505-2E9C-101B-9397-08002B2CF9AE}" pid="4" name="KSOTemplateDocerSaveRecord">
    <vt:lpwstr>eyJoZGlkIjoiM2FiZDIzMjBhYjY3YjcwYmIxYWI1NjM4YzVmYjEyMDMiLCJ1c2VySWQiOiIyODM0OTI2NzkifQ==</vt:lpwstr>
  </property>
</Properties>
</file>