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748EFB22">
      <w:pPr>
        <w:tabs>
          <w:tab w:val="left" w:pos="5190"/>
        </w:tabs>
        <w:spacing w:line="480" w:lineRule="auto"/>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聊城市技师学院内雷达站西墙边供暖主管道破裂急需维修采购项目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B3EF471">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二</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
          <w:bCs/>
          <w:sz w:val="28"/>
          <w:szCs w:val="28"/>
          <w:highlight w:val="none"/>
          <w:lang w:val="en-US" w:eastAsia="zh-CN"/>
        </w:rPr>
      </w:pPr>
      <w:bookmarkStart w:id="0" w:name="_Toc441648515"/>
      <w:r>
        <w:rPr>
          <w:rFonts w:hint="eastAsia" w:ascii="宋体" w:hAnsi="宋体" w:eastAsia="宋体"/>
          <w:b/>
          <w:bCs/>
          <w:sz w:val="28"/>
          <w:szCs w:val="28"/>
          <w:highlight w:val="none"/>
          <w:lang w:val="en-US" w:eastAsia="zh-CN"/>
        </w:rPr>
        <w:t>聊城市技师学院内雷达站西墙边供暖主管道破裂急需维修</w:t>
      </w:r>
      <w:r>
        <w:rPr>
          <w:rFonts w:hint="eastAsia" w:ascii="宋体" w:hAnsi="宋体"/>
          <w:b/>
          <w:bCs/>
          <w:sz w:val="28"/>
          <w:szCs w:val="28"/>
          <w:highlight w:val="none"/>
          <w:lang w:val="en-US" w:eastAsia="zh-CN"/>
        </w:rPr>
        <w:t>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聊城市技师学院内雷达站西墙边供暖主管道破裂急需维修采购项目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聊城市技师学院内雷达站西墙边供暖主管道破裂急需维修采购项目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聊城市技师学院内雷达站西墙边供暖主管道破裂急需维修采购项目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聊城市技师学院内雷达站西墙边供暖主管道破裂急需维修采购项目。</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7800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w:t>
            </w:r>
            <w:r>
              <w:rPr>
                <w:rFonts w:hint="eastAsia" w:ascii="宋体" w:hAnsi="宋体" w:eastAsia="宋体" w:cs="宋体"/>
                <w:color w:val="auto"/>
                <w:kern w:val="2"/>
                <w:sz w:val="24"/>
                <w:szCs w:val="24"/>
                <w:highlight w:val="none"/>
                <w:lang w:val="en-US" w:eastAsia="zh-CN" w:bidi="ar-SA"/>
              </w:rPr>
              <w:t>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供暖管道抢修开挖</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机械费（检测查找漏点、含破绿植）</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90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D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8E47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供暖阀门开关控制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AFC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管线外网泄压</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FDE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CC9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9D8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6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BC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F2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81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1A9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供暖管道专用哈佛节</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07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DN217安装（异形件）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AA4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B02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F2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AB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905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AE0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BE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195C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供暖管道补偿器焊接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B6F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埋弧焊接</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F25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2F1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BEA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B8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C22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A1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C34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B1B3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管道保温</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0C1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保温材料、辅材等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4A1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89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B9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D48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A60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C62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E17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6A99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基坑回填及工时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8A5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恢复现状、垃圾清运费</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38B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035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83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184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D57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7DE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C84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205C9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0D5FC">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72695501">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pPr>
    </w:p>
    <w:p w14:paraId="626204F7">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2138F6ED">
      <w:pPr>
        <w:pStyle w:val="259"/>
        <w:numPr>
          <w:ilvl w:val="0"/>
          <w:numId w:val="0"/>
        </w:numPr>
        <w:tabs>
          <w:tab w:val="left" w:pos="0"/>
          <w:tab w:val="left" w:pos="180"/>
          <w:tab w:val="left" w:pos="360"/>
        </w:tabs>
        <w:spacing w:line="276" w:lineRule="auto"/>
        <w:ind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  学院内雷达站东墙树林中暖气管道漏水，经现场勘查确定供暖管道主管网破裂。目前发现地下供暖管道在树林绿化带内冒水和热气，需挖开后才能确定漏点位置，需由供暖公司配合停校园外主阀门进行抢修。因供暖管道高温高压根据现场情况进行更换或埋弧焊接修复。</w:t>
      </w:r>
    </w:p>
    <w:p w14:paraId="5521F92A">
      <w:pPr>
        <w:pStyle w:val="259"/>
        <w:numPr>
          <w:ilvl w:val="0"/>
          <w:numId w:val="0"/>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四、</w:t>
      </w:r>
      <w:r>
        <w:rPr>
          <w:rFonts w:hint="eastAsia" w:cs="Times New Roman"/>
          <w:b/>
          <w:color w:val="000000" w:themeColor="text1"/>
          <w:kern w:val="2"/>
          <w:sz w:val="44"/>
          <w:highlight w:val="none"/>
          <w:lang w:val="en-US" w:eastAsia="zh-CN" w:bidi="ar-SA"/>
          <w14:textFill>
            <w14:solidFill>
              <w14:schemeClr w14:val="tx1"/>
            </w14:solidFill>
          </w14:textFill>
        </w:rPr>
        <w:t>服务</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供暖管道抢修开挖</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机械费（检测查找漏点、含破绿植）</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AF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2C8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F68E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供暖阀门开关控制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B8B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管线外网泄压</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C25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9D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16D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55E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8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E8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8B6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26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供暖管道专用哈佛节</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5B1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DN217安装（异形件）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D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42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9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EEC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4C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ADE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247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20EB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供暖管道补偿器焊接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CB8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埋弧焊接</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C41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225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001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299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6A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C1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7C14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管道保温</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C4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保温材料、辅材等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480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8C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16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E1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34C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0F1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C2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D396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基坑回填及工时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8F9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恢复现状、垃圾清运费</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4E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10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86D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59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90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780</w:t>
            </w:r>
            <w:r>
              <w:rPr>
                <w:rFonts w:hint="eastAsia" w:ascii="宋体" w:hAnsi="宋体" w:eastAsia="宋体" w:cs="宋体"/>
                <w:b w:val="0"/>
                <w:i w:val="0"/>
                <w:iCs w:val="0"/>
                <w:color w:val="000000"/>
                <w:kern w:val="0"/>
                <w:sz w:val="21"/>
                <w:szCs w:val="21"/>
                <w:highlight w:val="none"/>
                <w:u w:val="none"/>
                <w:lang w:val="en-US" w:eastAsia="zh-CN" w:bidi="ar"/>
              </w:rPr>
              <w:t>0元</w:t>
            </w:r>
          </w:p>
        </w:tc>
      </w:tr>
    </w:tbl>
    <w:p w14:paraId="508A2409">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C29EB"/>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185FB0"/>
    <w:rsid w:val="31232B7B"/>
    <w:rsid w:val="31D41ACA"/>
    <w:rsid w:val="35BE2E72"/>
    <w:rsid w:val="3827318B"/>
    <w:rsid w:val="38433B03"/>
    <w:rsid w:val="39CE5556"/>
    <w:rsid w:val="3B7B043E"/>
    <w:rsid w:val="3CE85EE2"/>
    <w:rsid w:val="3DEA7D74"/>
    <w:rsid w:val="3F1E091D"/>
    <w:rsid w:val="4033731A"/>
    <w:rsid w:val="40500A84"/>
    <w:rsid w:val="41FB721E"/>
    <w:rsid w:val="421516F9"/>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653CEB"/>
    <w:rsid w:val="569F1AF1"/>
    <w:rsid w:val="56C97471"/>
    <w:rsid w:val="59514339"/>
    <w:rsid w:val="5A9C1781"/>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2267</Words>
  <Characters>2465</Characters>
  <Lines>17</Lines>
  <Paragraphs>4</Paragraphs>
  <TotalTime>20</TotalTime>
  <ScaleCrop>false</ScaleCrop>
  <LinksUpToDate>false</LinksUpToDate>
  <CharactersWithSpaces>2537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2024-12-05T06:43:00Z</cp:lastPrinted>
  <dcterms:modified xsi:type="dcterms:W3CDTF">2025-02-05T09:07:42Z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24EC38E9F5E14CE983AF94324EFAD470_13</vt:lpwstr>
  </property>
  <property fmtid="{D5CDD505-2E9C-101B-9397-08002B2CF9AE}" pid="4" name="KSOTemplateDocerSaveRecord">
    <vt:lpwstr>eyJoZGlkIjoiNTQ1M2E4OGM2NjM4ZTYyOGE2NTE5OTJiYjM2N2QyYzciLCJ1c2VySWQiOiIzOTMxNDA5MjYifQ==</vt:lpwstr>
  </property>
</Properties>
</file>