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聊城市技师学院消防设施检测</w:t>
      </w:r>
      <w:r>
        <w:rPr>
          <w:rFonts w:hint="eastAsia" w:ascii="黑体" w:hAnsi="黑体" w:eastAsia="黑体"/>
          <w:b/>
          <w:bCs/>
          <w:color w:val="000000"/>
          <w:sz w:val="31"/>
          <w:szCs w:val="31"/>
          <w:shd w:val="clear" w:color="auto" w:fill="FFFFFF"/>
          <w:lang w:val="en-US" w:eastAsia="zh-CN"/>
        </w:rPr>
        <w:t>采购</w:t>
      </w:r>
      <w:r>
        <w:rPr>
          <w:rFonts w:hint="eastAsia" w:ascii="黑体" w:hAnsi="黑体" w:eastAsia="黑体"/>
          <w:b/>
          <w:bCs/>
          <w:color w:val="000000"/>
          <w:sz w:val="31"/>
          <w:szCs w:val="31"/>
          <w:shd w:val="clear" w:color="auto" w:fill="FFFFFF"/>
        </w:rPr>
        <w:t>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4</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13</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四</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四</w:t>
      </w:r>
      <w:r>
        <w:rPr>
          <w:rFonts w:hint="eastAsia" w:ascii="楷体_GB2312" w:eastAsia="楷体_GB2312"/>
          <w:b/>
          <w:sz w:val="28"/>
          <w:szCs w:val="28"/>
          <w:u w:val="single"/>
        </w:rPr>
        <w:t>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聊城市技师学院消防设施检测采购项目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adjustRightInd w:val="0"/>
        <w:snapToGrid w:val="0"/>
        <w:spacing w:line="560" w:lineRule="exact"/>
        <w:jc w:val="left"/>
        <w:rPr>
          <w:rFonts w:ascii="宋体"/>
          <w:sz w:val="24"/>
          <w:szCs w:val="24"/>
        </w:rPr>
      </w:pPr>
      <w:r>
        <w:rPr>
          <w:rFonts w:hint="eastAsia" w:ascii="宋体" w:hAnsi="宋体"/>
          <w:sz w:val="24"/>
          <w:szCs w:val="24"/>
        </w:rPr>
        <w:t>二、项目名称：聊城市技师学院消防设施检测采购项目</w:t>
      </w:r>
    </w:p>
    <w:p>
      <w:pPr>
        <w:adjustRightInd w:val="0"/>
        <w:snapToGrid w:val="0"/>
        <w:spacing w:line="560" w:lineRule="exact"/>
        <w:jc w:val="left"/>
        <w:rPr>
          <w:rFonts w:ascii="宋体"/>
          <w:sz w:val="24"/>
          <w:szCs w:val="24"/>
        </w:rPr>
      </w:pPr>
      <w:r>
        <w:rPr>
          <w:rFonts w:hint="eastAsia" w:ascii="宋体" w:hAnsi="宋体"/>
          <w:sz w:val="24"/>
          <w:szCs w:val="24"/>
        </w:rPr>
        <w:t>三、采购项目概况</w:t>
      </w:r>
    </w:p>
    <w:p>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个包：聊城市技师学院消防设施检测采购项目，详见项目说明。</w:t>
      </w:r>
    </w:p>
    <w:p>
      <w:pPr>
        <w:adjustRightInd w:val="0"/>
        <w:snapToGrid w:val="0"/>
        <w:spacing w:line="560" w:lineRule="exact"/>
        <w:jc w:val="left"/>
        <w:rPr>
          <w:rFonts w:ascii="宋体"/>
          <w:sz w:val="24"/>
          <w:szCs w:val="24"/>
        </w:rPr>
      </w:pPr>
      <w:r>
        <w:rPr>
          <w:rFonts w:hint="eastAsia" w:ascii="宋体" w:hAnsi="宋体"/>
          <w:sz w:val="24"/>
          <w:szCs w:val="24"/>
        </w:rPr>
        <w:t>四、供应商资格要求：</w:t>
      </w:r>
    </w:p>
    <w:p>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sz w:val="24"/>
          <w:szCs w:val="24"/>
        </w:rPr>
      </w:pPr>
      <w:r>
        <w:rPr>
          <w:rFonts w:hint="eastAsia" w:ascii="宋体" w:hAnsi="宋体"/>
          <w:sz w:val="24"/>
          <w:szCs w:val="24"/>
        </w:rPr>
        <w:t>获取采购文件时间、地点：202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报名方式：邮箱报名，报名邮箱：lcsjsxyzbb@lc.shandong.cn，将营业执照和相关资质发到邮箱，注明联系人及电话。</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w:t>
      </w:r>
      <w:r>
        <w:rPr>
          <w:rFonts w:hint="eastAsia" w:ascii="宋体" w:hAnsi="宋体"/>
          <w:sz w:val="24"/>
          <w:szCs w:val="24"/>
        </w:rPr>
        <w:t>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w:t>
      </w:r>
      <w:r>
        <w:rPr>
          <w:rFonts w:hint="eastAsia" w:ascii="宋体" w:hAnsi="宋体"/>
          <w:sz w:val="24"/>
          <w:szCs w:val="24"/>
        </w:rPr>
        <w:t>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九、此公告在聊城市技师学院网站</w:t>
      </w:r>
      <w:r>
        <w:rPr>
          <w:rFonts w:hint="eastAsia" w:ascii="宋体" w:hAnsi="宋体"/>
          <w:sz w:val="24"/>
          <w:szCs w:val="24"/>
          <w:lang w:eastAsia="zh-CN"/>
        </w:rPr>
        <w:t>、</w:t>
      </w:r>
      <w:r>
        <w:rPr>
          <w:rFonts w:hint="eastAsia" w:ascii="宋体" w:hAnsi="宋体"/>
          <w:sz w:val="24"/>
          <w:szCs w:val="24"/>
        </w:rPr>
        <w:t>财务处网站中公示</w:t>
      </w:r>
    </w:p>
    <w:p>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17</w:t>
      </w:r>
      <w:r>
        <w:rPr>
          <w:rFonts w:hint="eastAsia" w:ascii="宋体" w:hAnsi="宋体"/>
          <w:sz w:val="24"/>
          <w:szCs w:val="24"/>
        </w:rPr>
        <w:t>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聊城市技师学院消防设施检测采购项目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采购人</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采购内容</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本项目共一个标段，主要内容为聊城市技师学院消防设施检测采购项目。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供应商资格要求</w:t>
            </w:r>
          </w:p>
        </w:tc>
        <w:tc>
          <w:tcPr>
            <w:tcW w:w="8127" w:type="dxa"/>
            <w:vAlign w:val="center"/>
          </w:tcPr>
          <w:p>
            <w:pPr>
              <w:numPr>
                <w:ilvl w:val="0"/>
                <w:numId w:val="5"/>
              </w:numPr>
              <w:spacing w:line="276" w:lineRule="auto"/>
              <w:jc w:val="left"/>
              <w:rPr>
                <w:rFonts w:hint="eastAsia" w:ascii="宋体" w:hAnsi="宋体"/>
                <w:sz w:val="24"/>
                <w:szCs w:val="24"/>
              </w:rPr>
            </w:pPr>
            <w:r>
              <w:rPr>
                <w:rFonts w:hint="eastAsia" w:ascii="宋体" w:hAnsi="宋体"/>
                <w:sz w:val="24"/>
                <w:szCs w:val="24"/>
              </w:rPr>
              <w:t>具备中华人民共和国合法营业执照及相应的经营范围；</w:t>
            </w:r>
          </w:p>
          <w:p>
            <w:pPr>
              <w:numPr>
                <w:ilvl w:val="0"/>
                <w:numId w:val="5"/>
              </w:numPr>
              <w:spacing w:line="276" w:lineRule="auto"/>
              <w:jc w:val="left"/>
              <w:rPr>
                <w:rFonts w:hint="eastAsia" w:ascii="宋体" w:hAnsi="宋体"/>
                <w:sz w:val="24"/>
                <w:szCs w:val="24"/>
              </w:rPr>
            </w:pPr>
            <w:r>
              <w:rPr>
                <w:rFonts w:hint="eastAsia" w:ascii="宋体" w:hAnsi="宋体"/>
                <w:sz w:val="24"/>
                <w:szCs w:val="24"/>
              </w:rPr>
              <w:t>供应商应在人员、设备等方面具有相应的能力其中拟派的项目负责人具备一级注册消防工程师，中级消防设施操作员（不少于6名）在社会消防技术服务信息系统（https://shhxf.119.gov.cn/templet/index_7.jsp)登记报备</w:t>
            </w:r>
            <w:r>
              <w:rPr>
                <w:rFonts w:hint="eastAsia" w:ascii="宋体" w:hAnsi="宋体"/>
                <w:sz w:val="24"/>
                <w:szCs w:val="24"/>
                <w:lang w:eastAsia="zh-CN"/>
              </w:rPr>
              <w:t>；</w:t>
            </w:r>
          </w:p>
          <w:p>
            <w:pPr>
              <w:numPr>
                <w:ilvl w:val="0"/>
                <w:numId w:val="0"/>
              </w:numPr>
              <w:spacing w:line="276" w:lineRule="auto"/>
              <w:jc w:val="left"/>
              <w:rPr>
                <w:rFonts w:ascii="宋体"/>
                <w:szCs w:val="21"/>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lang w:val="en-US" w:eastAsia="zh-CN"/>
              </w:rPr>
              <w:t>48000</w:t>
            </w:r>
            <w:r>
              <w:rPr>
                <w:rFonts w:hint="eastAsia" w:ascii="宋体" w:hAnsi="宋体" w:eastAsia="宋体"/>
                <w:bCs/>
                <w:color w:val="000000"/>
                <w:spacing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采购方式</w:t>
            </w:r>
          </w:p>
        </w:tc>
        <w:tc>
          <w:tcPr>
            <w:tcW w:w="8127" w:type="dxa"/>
            <w:vAlign w:val="center"/>
          </w:tcPr>
          <w:p>
            <w:pPr>
              <w:spacing w:line="276" w:lineRule="auto"/>
              <w:rPr>
                <w:rFonts w:ascii="宋体"/>
                <w:szCs w:val="21"/>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质量要求</w:t>
            </w:r>
          </w:p>
        </w:tc>
        <w:tc>
          <w:tcPr>
            <w:tcW w:w="8127" w:type="dxa"/>
            <w:vAlign w:val="center"/>
          </w:tcPr>
          <w:p>
            <w:pPr>
              <w:pStyle w:val="23"/>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color w:val="00000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服务要求</w:t>
            </w:r>
          </w:p>
        </w:tc>
        <w:tc>
          <w:tcPr>
            <w:tcW w:w="8127" w:type="dxa"/>
            <w:vAlign w:val="center"/>
          </w:tcPr>
          <w:p>
            <w:pPr>
              <w:spacing w:line="276" w:lineRule="auto"/>
              <w:jc w:val="left"/>
              <w:rPr>
                <w:rFonts w:ascii="宋体" w:hAnsi="宋体"/>
                <w:sz w:val="24"/>
                <w:szCs w:val="24"/>
                <w:highlight w:val="none"/>
              </w:rPr>
            </w:pPr>
            <w:r>
              <w:rPr>
                <w:rFonts w:hint="eastAsia" w:ascii="宋体" w:hAnsi="宋体"/>
                <w:sz w:val="24"/>
                <w:szCs w:val="24"/>
                <w:highlight w:val="none"/>
                <w:lang w:val="en-US" w:eastAsia="zh-CN"/>
              </w:rPr>
              <w:t>接甲方通知</w:t>
            </w:r>
            <w:r>
              <w:rPr>
                <w:rFonts w:hint="eastAsia" w:ascii="宋体" w:hAnsi="宋体"/>
                <w:sz w:val="24"/>
                <w:szCs w:val="24"/>
                <w:highlight w:val="none"/>
              </w:rPr>
              <w:t>15天内</w:t>
            </w:r>
            <w:r>
              <w:rPr>
                <w:rFonts w:hint="eastAsia" w:ascii="宋体" w:hAnsi="宋体"/>
                <w:sz w:val="24"/>
                <w:szCs w:val="24"/>
                <w:highlight w:val="none"/>
                <w:lang w:val="en-US" w:eastAsia="zh-CN"/>
              </w:rPr>
              <w:t>完成</w:t>
            </w:r>
            <w:r>
              <w:rPr>
                <w:rFonts w:hint="eastAsia" w:ascii="宋体" w:hAnsi="宋体"/>
                <w:sz w:val="24"/>
                <w:szCs w:val="24"/>
                <w:highlight w:val="none"/>
                <w:lang w:eastAsia="zh-CN"/>
              </w:rPr>
              <w:t>，</w:t>
            </w:r>
            <w:r>
              <w:rPr>
                <w:rFonts w:hint="eastAsia" w:ascii="宋体" w:hAnsi="宋体"/>
                <w:sz w:val="24"/>
                <w:szCs w:val="24"/>
                <w:highlight w:val="none"/>
                <w:lang w:val="en-US" w:eastAsia="zh-CN"/>
              </w:rPr>
              <w:t>每延迟1日支付200元违约金</w:t>
            </w: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结算方式</w:t>
            </w:r>
          </w:p>
        </w:tc>
        <w:tc>
          <w:tcPr>
            <w:tcW w:w="8127" w:type="dxa"/>
            <w:vAlign w:val="center"/>
          </w:tcPr>
          <w:p>
            <w:pPr>
              <w:spacing w:line="276" w:lineRule="auto"/>
              <w:jc w:val="left"/>
              <w:rPr>
                <w:rFonts w:ascii="宋体" w:hAnsi="宋体"/>
                <w:sz w:val="24"/>
                <w:szCs w:val="24"/>
                <w:highlight w:val="none"/>
              </w:rPr>
            </w:pPr>
            <w:r>
              <w:rPr>
                <w:rFonts w:hint="eastAsia" w:ascii="宋体" w:hAnsi="宋体"/>
                <w:sz w:val="24"/>
                <w:szCs w:val="24"/>
                <w:highlight w:val="none"/>
                <w:lang w:val="en-US" w:eastAsia="zh-CN"/>
              </w:rPr>
              <w:t>依据报价</w:t>
            </w:r>
            <w:r>
              <w:rPr>
                <w:rFonts w:hint="eastAsia" w:ascii="宋体" w:hAnsi="宋体"/>
                <w:sz w:val="24"/>
                <w:szCs w:val="24"/>
                <w:highlight w:val="none"/>
              </w:rPr>
              <w:t>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付款方式</w:t>
            </w:r>
          </w:p>
        </w:tc>
        <w:tc>
          <w:tcPr>
            <w:tcW w:w="8127" w:type="dxa"/>
            <w:vAlign w:val="center"/>
          </w:tcPr>
          <w:p>
            <w:pPr>
              <w:pStyle w:val="102"/>
              <w:spacing w:line="276" w:lineRule="auto"/>
              <w:jc w:val="both"/>
              <w:rPr>
                <w:rFonts w:ascii="宋体" w:hAnsi="宋体" w:eastAsia="宋体"/>
                <w:spacing w:val="0"/>
                <w:sz w:val="21"/>
                <w:szCs w:val="21"/>
                <w:highlight w:val="none"/>
              </w:rPr>
            </w:pPr>
            <w:r>
              <w:rPr>
                <w:rFonts w:hint="eastAsia" w:ascii="宋体" w:hAnsi="宋体" w:eastAsia="宋体" w:cs="Times New Roman"/>
                <w:spacing w:val="0"/>
                <w:sz w:val="24"/>
                <w:szCs w:val="24"/>
                <w:highlight w:val="none"/>
                <w:lang w:val="en-US" w:eastAsia="zh-CN"/>
              </w:rPr>
              <w:t>检测完成后一次性付清</w:t>
            </w:r>
            <w:r>
              <w:rPr>
                <w:rFonts w:hint="eastAsia" w:ascii="宋体" w:hAnsi="宋体" w:eastAsia="宋体" w:cs="Times New Roman"/>
                <w:spacing w:val="0"/>
                <w:sz w:val="24"/>
                <w:szCs w:val="24"/>
                <w:highlight w:val="none"/>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获取文件时间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w:t>
            </w:r>
            <w:r>
              <w:rPr>
                <w:rFonts w:hint="eastAsia" w:ascii="宋体" w:hAnsi="宋体"/>
                <w:sz w:val="24"/>
                <w:szCs w:val="24"/>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w:t>
            </w:r>
            <w:r>
              <w:rPr>
                <w:rFonts w:hint="eastAsia" w:ascii="宋体" w:hAnsi="宋体"/>
                <w:sz w:val="24"/>
                <w:szCs w:val="24"/>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highlight w:val="none"/>
        </w:rPr>
      </w:pPr>
      <w:r>
        <w:rPr>
          <w:rFonts w:hint="eastAsia"/>
          <w:b/>
          <w:sz w:val="24"/>
          <w:szCs w:val="24"/>
        </w:rPr>
        <w:t>附件：</w:t>
      </w:r>
    </w:p>
    <w:p>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pPr>
        <w:tabs>
          <w:tab w:val="left" w:pos="0"/>
          <w:tab w:val="left" w:pos="180"/>
          <w:tab w:val="left" w:pos="360"/>
        </w:tabs>
        <w:spacing w:line="276" w:lineRule="auto"/>
        <w:rPr>
          <w:sz w:val="24"/>
          <w:szCs w:val="24"/>
          <w:highlight w:val="none"/>
        </w:rPr>
      </w:pPr>
    </w:p>
    <w:p>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pPr>
        <w:tabs>
          <w:tab w:val="left" w:pos="0"/>
          <w:tab w:val="left" w:pos="180"/>
          <w:tab w:val="left" w:pos="360"/>
        </w:tabs>
        <w:spacing w:line="276" w:lineRule="auto"/>
        <w:rPr>
          <w:rFonts w:eastAsia="仿宋_GB2312"/>
          <w:sz w:val="24"/>
          <w:szCs w:val="24"/>
          <w:highlight w:val="none"/>
        </w:rPr>
      </w:pPr>
    </w:p>
    <w:p>
      <w:pPr>
        <w:pStyle w:val="2"/>
        <w:ind w:firstLine="400"/>
        <w:rPr>
          <w:highlight w:val="none"/>
        </w:rPr>
      </w:pPr>
    </w:p>
    <w:p>
      <w:pPr>
        <w:pStyle w:val="2"/>
        <w:ind w:firstLine="400"/>
        <w:rPr>
          <w:highlight w:val="none"/>
        </w:rPr>
      </w:pPr>
    </w:p>
    <w:p>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pPr>
              <w:spacing w:line="276" w:lineRule="auto"/>
              <w:jc w:val="center"/>
              <w:rPr>
                <w:rFonts w:ascii="宋体"/>
                <w:b/>
                <w:szCs w:val="21"/>
                <w:highlight w:val="none"/>
              </w:rPr>
            </w:pPr>
            <w:r>
              <w:rPr>
                <w:rFonts w:hint="eastAsia" w:ascii="宋体" w:hAnsi="宋体"/>
                <w:b/>
                <w:szCs w:val="21"/>
                <w:highlight w:val="none"/>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highlight w:val="none"/>
              </w:rPr>
            </w:pPr>
          </w:p>
        </w:tc>
        <w:tc>
          <w:tcPr>
            <w:tcW w:w="5308" w:type="dxa"/>
            <w:vAlign w:val="center"/>
          </w:tcPr>
          <w:p>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pPr>
              <w:spacing w:line="276" w:lineRule="auto"/>
              <w:jc w:val="center"/>
              <w:rPr>
                <w:rFonts w:ascii="宋体"/>
                <w:b/>
                <w:szCs w:val="21"/>
                <w:highlight w:val="none"/>
              </w:rPr>
            </w:pPr>
            <w:r>
              <w:rPr>
                <w:rFonts w:hint="eastAsia" w:ascii="宋体" w:hAnsi="宋体"/>
                <w:b/>
                <w:szCs w:val="21"/>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pPr>
              <w:spacing w:line="276" w:lineRule="auto"/>
              <w:rPr>
                <w:rFonts w:ascii="宋体"/>
                <w:b/>
                <w:kern w:val="0"/>
                <w:szCs w:val="21"/>
                <w:highlight w:val="none"/>
              </w:rPr>
            </w:pPr>
            <w:r>
              <w:rPr>
                <w:rFonts w:hint="eastAsia" w:ascii="宋体" w:hAnsi="宋体"/>
                <w:b/>
                <w:kern w:val="0"/>
                <w:szCs w:val="21"/>
                <w:highlight w:val="none"/>
              </w:rPr>
              <w:t>大写：       元</w:t>
            </w:r>
          </w:p>
          <w:p>
            <w:pPr>
              <w:spacing w:line="276" w:lineRule="auto"/>
              <w:rPr>
                <w:rFonts w:ascii="宋体"/>
                <w:b/>
                <w:kern w:val="0"/>
                <w:szCs w:val="21"/>
                <w:highlight w:val="none"/>
              </w:rPr>
            </w:pPr>
            <w:r>
              <w:rPr>
                <w:rFonts w:hint="eastAsia" w:ascii="宋体" w:hAnsi="宋体"/>
                <w:b/>
                <w:kern w:val="0"/>
                <w:szCs w:val="21"/>
                <w:highlight w:val="none"/>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服务</w:t>
            </w:r>
            <w:r>
              <w:rPr>
                <w:rFonts w:hint="eastAsia" w:ascii="宋体" w:hAnsi="宋体"/>
                <w:b/>
                <w:kern w:val="0"/>
                <w:szCs w:val="21"/>
                <w:highlight w:val="none"/>
              </w:rPr>
              <w:t>期</w:t>
            </w:r>
          </w:p>
        </w:tc>
        <w:tc>
          <w:tcPr>
            <w:tcW w:w="3859" w:type="dxa"/>
            <w:vAlign w:val="center"/>
          </w:tcPr>
          <w:p>
            <w:pPr>
              <w:spacing w:line="276" w:lineRule="auto"/>
              <w:rPr>
                <w:rFonts w:asci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pPr>
              <w:spacing w:line="276" w:lineRule="auto"/>
              <w:rPr>
                <w:rFonts w:ascii="宋体"/>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pPr>
              <w:spacing w:line="276" w:lineRule="auto"/>
              <w:rPr>
                <w:rFonts w:ascii="宋体"/>
                <w:kern w:val="0"/>
                <w:szCs w:val="21"/>
                <w:highlight w:val="none"/>
                <w:u w:val="single"/>
              </w:rPr>
            </w:pPr>
          </w:p>
        </w:tc>
      </w:tr>
    </w:tbl>
    <w:p>
      <w:pPr>
        <w:spacing w:line="276" w:lineRule="auto"/>
        <w:rPr>
          <w:b/>
          <w:szCs w:val="21"/>
          <w:highlight w:val="none"/>
          <w:u w:val="single"/>
        </w:rPr>
      </w:pPr>
      <w:r>
        <w:rPr>
          <w:rFonts w:hint="eastAsia"/>
          <w:b/>
          <w:szCs w:val="21"/>
          <w:highlight w:val="none"/>
        </w:rPr>
        <w:t>供应商名称（公章）：</w:t>
      </w:r>
    </w:p>
    <w:p>
      <w:pPr>
        <w:spacing w:line="276" w:lineRule="auto"/>
        <w:rPr>
          <w:b/>
          <w:szCs w:val="21"/>
          <w:highlight w:val="none"/>
        </w:rPr>
      </w:pPr>
      <w:r>
        <w:rPr>
          <w:rFonts w:hint="eastAsia"/>
          <w:b/>
          <w:szCs w:val="21"/>
          <w:highlight w:val="none"/>
        </w:rPr>
        <w:t>法定代表人或授权代理人签字：</w:t>
      </w:r>
    </w:p>
    <w:p>
      <w:pPr>
        <w:spacing w:line="276" w:lineRule="auto"/>
        <w:rPr>
          <w:b/>
          <w:sz w:val="24"/>
          <w:highlight w:val="none"/>
        </w:rPr>
      </w:pPr>
    </w:p>
    <w:p>
      <w:pPr>
        <w:pStyle w:val="2"/>
        <w:ind w:firstLine="400"/>
        <w:rPr>
          <w:highlight w:val="none"/>
        </w:rPr>
      </w:pPr>
    </w:p>
    <w:p>
      <w:pPr>
        <w:pStyle w:val="2"/>
        <w:ind w:firstLine="0" w:firstLineChars="0"/>
        <w:rPr>
          <w:highlight w:val="none"/>
        </w:rPr>
      </w:pPr>
      <w:r>
        <w:rPr>
          <w:highlight w:val="none"/>
        </w:rPr>
        <w:t>注：必须付分项报价表</w:t>
      </w:r>
    </w:p>
    <w:p>
      <w:pPr>
        <w:spacing w:line="480" w:lineRule="auto"/>
        <w:rPr>
          <w:b/>
          <w:sz w:val="24"/>
          <w:szCs w:val="24"/>
          <w:highlight w:val="none"/>
        </w:rPr>
      </w:pPr>
    </w:p>
    <w:p>
      <w:pPr>
        <w:spacing w:line="480" w:lineRule="auto"/>
        <w:rPr>
          <w:b/>
          <w:sz w:val="24"/>
          <w:szCs w:val="24"/>
          <w:highlight w:val="none"/>
        </w:rPr>
      </w:pPr>
    </w:p>
    <w:p>
      <w:pPr>
        <w:spacing w:line="480" w:lineRule="auto"/>
        <w:rPr>
          <w:b/>
          <w:sz w:val="24"/>
          <w:szCs w:val="24"/>
          <w:highlight w:val="none"/>
        </w:rPr>
      </w:pPr>
      <w:r>
        <w:rPr>
          <w:rFonts w:hint="eastAsia"/>
          <w:b/>
          <w:sz w:val="24"/>
          <w:szCs w:val="24"/>
          <w:highlight w:val="none"/>
        </w:rPr>
        <w:t>附件：</w:t>
      </w:r>
    </w:p>
    <w:p>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121" w:type="dxa"/>
        <w:tblInd w:w="93" w:type="dxa"/>
        <w:tblLayout w:type="fixed"/>
        <w:tblCellMar>
          <w:top w:w="0" w:type="dxa"/>
          <w:left w:w="108" w:type="dxa"/>
          <w:bottom w:w="0" w:type="dxa"/>
          <w:right w:w="108" w:type="dxa"/>
        </w:tblCellMar>
      </w:tblPr>
      <w:tblGrid>
        <w:gridCol w:w="1433"/>
        <w:gridCol w:w="1701"/>
        <w:gridCol w:w="1363"/>
        <w:gridCol w:w="1228"/>
        <w:gridCol w:w="1131"/>
        <w:gridCol w:w="1282"/>
        <w:gridCol w:w="983"/>
      </w:tblGrid>
      <w:tr>
        <w:tblPrEx>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名称</w:t>
            </w:r>
          </w:p>
        </w:tc>
        <w:tc>
          <w:tcPr>
            <w:tcW w:w="170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技术参数</w:t>
            </w:r>
          </w:p>
        </w:tc>
        <w:tc>
          <w:tcPr>
            <w:tcW w:w="136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计量单位</w:t>
            </w:r>
          </w:p>
        </w:tc>
        <w:tc>
          <w:tcPr>
            <w:tcW w:w="122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需求数量</w:t>
            </w:r>
          </w:p>
        </w:tc>
        <w:tc>
          <w:tcPr>
            <w:tcW w:w="113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单价（元）</w:t>
            </w:r>
          </w:p>
        </w:tc>
        <w:tc>
          <w:tcPr>
            <w:tcW w:w="128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金额（元）</w:t>
            </w:r>
          </w:p>
        </w:tc>
        <w:tc>
          <w:tcPr>
            <w:tcW w:w="98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备注</w:t>
            </w:r>
          </w:p>
        </w:tc>
      </w:tr>
      <w:tr>
        <w:tblPrEx>
          <w:tblCellMar>
            <w:top w:w="0" w:type="dxa"/>
            <w:left w:w="108" w:type="dxa"/>
            <w:bottom w:w="0" w:type="dxa"/>
            <w:right w:w="108" w:type="dxa"/>
          </w:tblCellMar>
        </w:tblPrEx>
        <w:trPr>
          <w:trHeight w:val="442"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both"/>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聊城市技师学院消防设施检测采购</w:t>
            </w:r>
          </w:p>
        </w:tc>
        <w:tc>
          <w:tcPr>
            <w:tcW w:w="1701" w:type="dxa"/>
            <w:tcBorders>
              <w:top w:val="nil"/>
              <w:left w:val="nil"/>
              <w:bottom w:val="single" w:color="auto" w:sz="4" w:space="0"/>
              <w:right w:val="single" w:color="auto" w:sz="4" w:space="0"/>
            </w:tcBorders>
            <w:shd w:val="clear" w:color="auto" w:fill="auto"/>
            <w:noWrap/>
            <w:vAlign w:val="bottom"/>
          </w:tcPr>
          <w:p>
            <w:pPr>
              <w:widowControl/>
              <w:ind w:firstLine="220" w:firstLineChars="100"/>
              <w:jc w:val="both"/>
              <w:rPr>
                <w:rFonts w:hint="default" w:ascii="宋体" w:hAnsi="宋体" w:cs="宋体"/>
                <w:color w:val="000000" w:themeColor="text1"/>
                <w:kern w:val="0"/>
                <w:sz w:val="22"/>
                <w:szCs w:val="22"/>
                <w:highlight w:val="none"/>
                <w:lang w:val="en-US" w:eastAsia="zh-CN"/>
                <w14:textFill>
                  <w14:solidFill>
                    <w14:schemeClr w14:val="tx1"/>
                  </w14:solidFill>
                </w14:textFill>
              </w:rPr>
            </w:pPr>
          </w:p>
        </w:tc>
        <w:tc>
          <w:tcPr>
            <w:tcW w:w="136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p>
        </w:tc>
        <w:tc>
          <w:tcPr>
            <w:tcW w:w="1228"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p>
        </w:tc>
        <w:tc>
          <w:tcPr>
            <w:tcW w:w="113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p>
        </w:tc>
        <w:tc>
          <w:tcPr>
            <w:tcW w:w="1282"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p>
        </w:tc>
        <w:tc>
          <w:tcPr>
            <w:tcW w:w="983" w:type="dxa"/>
            <w:tcBorders>
              <w:top w:val="nil"/>
              <w:left w:val="nil"/>
              <w:right w:val="single" w:color="auto" w:sz="4" w:space="0"/>
            </w:tcBorders>
            <w:shd w:val="clear" w:color="auto" w:fill="auto"/>
            <w:noWrap/>
            <w:vAlign w:val="bottom"/>
          </w:tcPr>
          <w:p>
            <w:pPr>
              <w:widowControl/>
              <w:jc w:val="center"/>
              <w:rPr>
                <w:rFonts w:hint="default" w:ascii="宋体" w:hAnsi="宋体" w:eastAsia="宋体" w:cs="宋体"/>
                <w:color w:val="000000" w:themeColor="text1"/>
                <w:kern w:val="0"/>
                <w:sz w:val="13"/>
                <w:szCs w:val="13"/>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合计</w:t>
            </w:r>
          </w:p>
        </w:tc>
        <w:tc>
          <w:tcPr>
            <w:tcW w:w="7688"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p>
        </w:tc>
      </w:tr>
    </w:tbl>
    <w:p>
      <w:pPr>
        <w:pStyle w:val="2"/>
        <w:ind w:firstLine="0" w:firstLineChars="0"/>
        <w:rPr>
          <w:color w:val="000000" w:themeColor="text1"/>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三、项目要求：</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green"/>
          <w:lang w:val="en-US" w:eastAsia="zh-CN"/>
          <w14:textFill>
            <w14:solidFill>
              <w14:schemeClr w14:val="tx1"/>
            </w14:solidFill>
          </w14:textFill>
        </w:rPr>
      </w:pPr>
      <w:r>
        <w:rPr>
          <w:rFonts w:hint="eastAsia" w:ascii="宋体" w:hAnsi="宋体" w:cs="宋体"/>
          <w:color w:val="000000" w:themeColor="text1"/>
          <w:kern w:val="0"/>
          <w:sz w:val="22"/>
          <w:szCs w:val="22"/>
          <w:highlight w:val="green"/>
          <w:lang w:val="en-US" w:eastAsia="zh-CN"/>
          <w14:textFill>
            <w14:solidFill>
              <w14:schemeClr w14:val="tx1"/>
            </w14:solidFill>
          </w14:textFill>
        </w:rPr>
        <w:t>1、检测范围：学院全部在用建筑、楼宇，总面积：220186.91㎡</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green"/>
          <w:lang w:val="en-US" w:eastAsia="zh-CN"/>
          <w14:textFill>
            <w14:solidFill>
              <w14:schemeClr w14:val="tx1"/>
            </w14:solidFill>
          </w14:textFill>
        </w:rPr>
      </w:pPr>
      <w:r>
        <w:rPr>
          <w:rFonts w:hint="eastAsia" w:ascii="宋体" w:hAnsi="宋体" w:cs="宋体"/>
          <w:color w:val="000000" w:themeColor="text1"/>
          <w:kern w:val="0"/>
          <w:sz w:val="22"/>
          <w:szCs w:val="22"/>
          <w:highlight w:val="green"/>
          <w:lang w:val="en-US" w:eastAsia="zh-CN"/>
          <w14:textFill>
            <w14:solidFill>
              <w14:schemeClr w14:val="tx1"/>
            </w14:solidFill>
          </w14:textFill>
        </w:rPr>
        <w:t xml:space="preserve">2、检测内容：对学院所有消防设施进行检测，包括但不限于以下设施：1、消防供配电设施 ；2、火灾自动报警系统 （含消防应急广播、消防电话系统、电梯、防火门监控器等）；3、消防水源 ；4、消火栓系统；5、自动喷水灭火系统；6、气体灭火系统 ；7、机械加压送风系统；8、机械排烟系统；9、消防应急照明和疏散指示系统；10、电气火灾监控系统；11、消防电源监控系统 ；12、消防分隔设施；13、可燃气体探测报警系统 </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green"/>
          <w:lang w:val="en-US" w:eastAsia="zh-CN"/>
          <w14:textFill>
            <w14:solidFill>
              <w14:schemeClr w14:val="tx1"/>
            </w14:solidFill>
          </w14:textFill>
        </w:rPr>
      </w:pPr>
      <w:r>
        <w:rPr>
          <w:rFonts w:hint="eastAsia" w:ascii="宋体" w:hAnsi="宋体" w:cs="宋体"/>
          <w:color w:val="000000" w:themeColor="text1"/>
          <w:kern w:val="0"/>
          <w:sz w:val="22"/>
          <w:szCs w:val="22"/>
          <w:highlight w:val="green"/>
          <w:lang w:val="en-US" w:eastAsia="zh-CN"/>
          <w14:textFill>
            <w14:solidFill>
              <w14:schemeClr w14:val="tx1"/>
            </w14:solidFill>
          </w14:textFill>
        </w:rPr>
        <w:t>3、检测标准：《山东省建筑消防设施检测技术规程》DB37/T 242-2021 及《建筑消防设施检测技术规程》（GA503-2004）和相关消防规范、标准。</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green"/>
          <w:lang w:val="en-US" w:eastAsia="zh-CN"/>
          <w14:textFill>
            <w14:solidFill>
              <w14:schemeClr w14:val="tx1"/>
            </w14:solidFill>
          </w14:textFill>
        </w:rPr>
      </w:pPr>
      <w:r>
        <w:rPr>
          <w:rFonts w:hint="eastAsia" w:ascii="宋体" w:hAnsi="宋体" w:cs="宋体"/>
          <w:color w:val="000000" w:themeColor="text1"/>
          <w:kern w:val="0"/>
          <w:sz w:val="22"/>
          <w:szCs w:val="22"/>
          <w:highlight w:val="green"/>
          <w:lang w:val="en-US" w:eastAsia="zh-CN"/>
          <w14:textFill>
            <w14:solidFill>
              <w14:schemeClr w14:val="tx1"/>
            </w14:solidFill>
          </w14:textFill>
        </w:rPr>
        <w:t>4、供应商资格要求：</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green"/>
          <w:lang w:val="en-US" w:eastAsia="zh-CN"/>
          <w14:textFill>
            <w14:solidFill>
              <w14:schemeClr w14:val="tx1"/>
            </w14:solidFill>
          </w14:textFill>
        </w:rPr>
      </w:pPr>
      <w:r>
        <w:rPr>
          <w:rFonts w:hint="eastAsia" w:ascii="宋体" w:hAnsi="宋体" w:cs="宋体"/>
          <w:color w:val="000000" w:themeColor="text1"/>
          <w:kern w:val="0"/>
          <w:sz w:val="22"/>
          <w:szCs w:val="22"/>
          <w:highlight w:val="green"/>
          <w:lang w:val="en-US" w:eastAsia="zh-CN"/>
          <w14:textFill>
            <w14:solidFill>
              <w14:schemeClr w14:val="tx1"/>
            </w14:solidFill>
          </w14:textFill>
        </w:rPr>
        <w:t>（1）具备中华人民共和国有效的营业执照及相应的经营范围;</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green"/>
          <w:lang w:val="en-US" w:eastAsia="zh-CN"/>
          <w14:textFill>
            <w14:solidFill>
              <w14:schemeClr w14:val="tx1"/>
            </w14:solidFill>
          </w14:textFill>
        </w:rPr>
      </w:pPr>
      <w:r>
        <w:rPr>
          <w:rFonts w:hint="eastAsia" w:ascii="宋体" w:hAnsi="宋体" w:cs="宋体"/>
          <w:color w:val="000000" w:themeColor="text1"/>
          <w:kern w:val="0"/>
          <w:sz w:val="22"/>
          <w:szCs w:val="22"/>
          <w:highlight w:val="green"/>
          <w:lang w:val="en-US" w:eastAsia="zh-CN"/>
          <w14:textFill>
            <w14:solidFill>
              <w14:schemeClr w14:val="tx1"/>
            </w14:solidFill>
          </w14:textFill>
        </w:rPr>
        <w:t>（2）供应商应在人员、设备等方面具有相应的能力其中拟派的项目负责人具备一级注册消防工程师，中级消防设施操作员（不少于 6 名）在社会消防技术服务信息系统（https://shhxf.119.gov.cn/templet/index_7.jsp)登记报备;</w:t>
      </w:r>
    </w:p>
    <w:p>
      <w:pPr>
        <w:pStyle w:val="258"/>
        <w:tabs>
          <w:tab w:val="left" w:pos="0"/>
          <w:tab w:val="left" w:pos="180"/>
          <w:tab w:val="left" w:pos="360"/>
        </w:tabs>
        <w:spacing w:line="276" w:lineRule="auto"/>
        <w:ind w:firstLine="418" w:firstLineChars="190"/>
        <w:rPr>
          <w:rFonts w:hint="default"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green"/>
          <w:lang w:val="en-US" w:eastAsia="zh-CN"/>
          <w14:textFill>
            <w14:solidFill>
              <w14:schemeClr w14:val="tx1"/>
            </w14:solidFill>
          </w14:textFill>
        </w:rPr>
        <w:t>（3）本项目不接受联合体</w:t>
      </w:r>
    </w:p>
    <w:p>
      <w:pPr>
        <w:pStyle w:val="258"/>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0" w:firstLineChars="0"/>
        <w:jc w:val="center"/>
        <w:rPr>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四、</w:t>
      </w:r>
      <w:r>
        <w:rPr>
          <w:rFonts w:hint="eastAsia"/>
          <w:b/>
          <w:color w:val="000000" w:themeColor="text1"/>
          <w:sz w:val="44"/>
          <w:highlight w:val="none"/>
          <w:lang w:val="en-US" w:eastAsia="zh-CN"/>
          <w14:textFill>
            <w14:solidFill>
              <w14:schemeClr w14:val="tx1"/>
            </w14:solidFill>
          </w14:textFill>
        </w:rPr>
        <w:t>服务</w:t>
      </w:r>
      <w:r>
        <w:rPr>
          <w:rFonts w:hint="eastAsia"/>
          <w:b/>
          <w:color w:val="000000" w:themeColor="text1"/>
          <w:sz w:val="44"/>
          <w:highlight w:val="none"/>
          <w14:textFill>
            <w14:solidFill>
              <w14:schemeClr w14:val="tx1"/>
            </w14:solidFill>
          </w14:textFill>
        </w:rPr>
        <w:t>清单：</w:t>
      </w:r>
    </w:p>
    <w:tbl>
      <w:tblPr>
        <w:tblStyle w:val="48"/>
        <w:tblW w:w="9121" w:type="dxa"/>
        <w:tblInd w:w="93" w:type="dxa"/>
        <w:tblLayout w:type="fixed"/>
        <w:tblCellMar>
          <w:top w:w="0" w:type="dxa"/>
          <w:left w:w="108" w:type="dxa"/>
          <w:bottom w:w="0" w:type="dxa"/>
          <w:right w:w="108" w:type="dxa"/>
        </w:tblCellMar>
      </w:tblPr>
      <w:tblGrid>
        <w:gridCol w:w="1433"/>
        <w:gridCol w:w="1978"/>
        <w:gridCol w:w="1085"/>
        <w:gridCol w:w="1119"/>
        <w:gridCol w:w="1339"/>
        <w:gridCol w:w="1184"/>
        <w:gridCol w:w="983"/>
      </w:tblGrid>
      <w:tr>
        <w:tblPrEx>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名称</w:t>
            </w:r>
          </w:p>
        </w:tc>
        <w:tc>
          <w:tcPr>
            <w:tcW w:w="197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技术参数</w:t>
            </w:r>
          </w:p>
        </w:tc>
        <w:tc>
          <w:tcPr>
            <w:tcW w:w="108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计量单位</w:t>
            </w:r>
          </w:p>
        </w:tc>
        <w:tc>
          <w:tcPr>
            <w:tcW w:w="111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需求数量</w:t>
            </w:r>
          </w:p>
        </w:tc>
        <w:tc>
          <w:tcPr>
            <w:tcW w:w="133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预算单价（元）</w:t>
            </w:r>
          </w:p>
        </w:tc>
        <w:tc>
          <w:tcPr>
            <w:tcW w:w="118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预算金额（元）</w:t>
            </w:r>
          </w:p>
        </w:tc>
        <w:tc>
          <w:tcPr>
            <w:tcW w:w="98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备注</w:t>
            </w:r>
          </w:p>
        </w:tc>
      </w:tr>
      <w:tr>
        <w:tblPrEx>
          <w:tblCellMar>
            <w:top w:w="0" w:type="dxa"/>
            <w:left w:w="108" w:type="dxa"/>
            <w:bottom w:w="0" w:type="dxa"/>
            <w:right w:w="108" w:type="dxa"/>
          </w:tblCellMar>
        </w:tblPrEx>
        <w:trPr>
          <w:trHeight w:val="1087"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both"/>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聊城市技师学院消防设施检测采购</w:t>
            </w:r>
          </w:p>
        </w:tc>
        <w:tc>
          <w:tcPr>
            <w:tcW w:w="1978" w:type="dxa"/>
            <w:tcBorders>
              <w:top w:val="nil"/>
              <w:left w:val="nil"/>
              <w:bottom w:val="single" w:color="auto" w:sz="4" w:space="0"/>
              <w:right w:val="single" w:color="auto" w:sz="4" w:space="0"/>
            </w:tcBorders>
            <w:shd w:val="clear" w:color="auto" w:fill="auto"/>
            <w:noWrap/>
            <w:vAlign w:val="bottom"/>
          </w:tcPr>
          <w:p>
            <w:pPr>
              <w:widowControl/>
              <w:jc w:val="both"/>
              <w:rPr>
                <w:rFonts w:hint="default"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green"/>
                <w:lang w:val="en-US" w:eastAsia="zh-CN"/>
                <w14:textFill>
                  <w14:solidFill>
                    <w14:schemeClr w14:val="tx1"/>
                  </w14:solidFill>
                </w14:textFill>
              </w:rPr>
              <w:t>《山东省建筑消防设施检测技术规程》DB37/T 242-2021 及《建筑消防设施检测技术规程》（GA503-2004）和相关消防规范、标准。</w:t>
            </w:r>
          </w:p>
        </w:tc>
        <w:tc>
          <w:tcPr>
            <w:tcW w:w="1085" w:type="dxa"/>
            <w:tcBorders>
              <w:top w:val="nil"/>
              <w:left w:val="nil"/>
              <w:bottom w:val="single" w:color="auto" w:sz="4" w:space="0"/>
              <w:right w:val="single" w:color="auto" w:sz="4" w:space="0"/>
            </w:tcBorders>
            <w:shd w:val="clear" w:color="auto" w:fill="auto"/>
            <w:noWrap/>
            <w:vAlign w:val="bottom"/>
          </w:tcPr>
          <w:p>
            <w:pPr>
              <w:widowControl/>
              <w:jc w:val="both"/>
              <w:rPr>
                <w:rFonts w:hint="default"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项</w:t>
            </w:r>
          </w:p>
        </w:tc>
        <w:tc>
          <w:tcPr>
            <w:tcW w:w="1119" w:type="dxa"/>
            <w:tcBorders>
              <w:top w:val="nil"/>
              <w:left w:val="nil"/>
              <w:bottom w:val="single" w:color="auto" w:sz="4" w:space="0"/>
              <w:right w:val="single" w:color="auto" w:sz="4" w:space="0"/>
            </w:tcBorders>
            <w:shd w:val="clear" w:color="auto" w:fill="auto"/>
            <w:noWrap/>
            <w:vAlign w:val="bottom"/>
          </w:tcPr>
          <w:p>
            <w:pPr>
              <w:widowControl/>
              <w:jc w:val="both"/>
              <w:rPr>
                <w:rFonts w:hint="default"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1</w:t>
            </w:r>
          </w:p>
        </w:tc>
        <w:tc>
          <w:tcPr>
            <w:tcW w:w="1339"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lang w:val="en-US" w:eastAsia="zh-CN" w:bidi="ar-SA"/>
                <w14:textFill>
                  <w14:solidFill>
                    <w14:schemeClr w14:val="tx1"/>
                  </w14:solidFill>
                </w14:textFill>
              </w:rPr>
              <w:t>48000</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48000</w:t>
            </w:r>
            <w:bookmarkStart w:id="2" w:name="_GoBack"/>
            <w:bookmarkEnd w:id="2"/>
          </w:p>
        </w:tc>
        <w:tc>
          <w:tcPr>
            <w:tcW w:w="983" w:type="dxa"/>
            <w:tcBorders>
              <w:top w:val="nil"/>
              <w:left w:val="nil"/>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13"/>
                <w:szCs w:val="13"/>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合计</w:t>
            </w:r>
          </w:p>
        </w:tc>
        <w:tc>
          <w:tcPr>
            <w:tcW w:w="7688"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48000</w:t>
            </w:r>
          </w:p>
        </w:tc>
      </w:tr>
    </w:tbl>
    <w:p>
      <w:pPr>
        <w:pStyle w:val="258"/>
        <w:tabs>
          <w:tab w:val="left" w:pos="0"/>
          <w:tab w:val="left" w:pos="180"/>
          <w:tab w:val="left" w:pos="360"/>
        </w:tabs>
        <w:spacing w:line="276" w:lineRule="auto"/>
        <w:ind w:firstLine="0" w:firstLineChars="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本报价为全费用单价，以上价格包含人工费</w:t>
      </w:r>
      <w:r>
        <w:rPr>
          <w:rFonts w:hint="eastAsia" w:ascii="宋体" w:hAnsi="宋体"/>
          <w:b/>
          <w:sz w:val="24"/>
          <w:szCs w:val="24"/>
          <w:lang w:eastAsia="zh-CN"/>
        </w:rPr>
        <w:t>、</w:t>
      </w:r>
      <w:r>
        <w:rPr>
          <w:rFonts w:hint="eastAsia" w:ascii="宋体" w:hAnsi="宋体"/>
          <w:b/>
          <w:sz w:val="24"/>
          <w:szCs w:val="24"/>
          <w:lang w:val="en-US" w:eastAsia="zh-CN"/>
        </w:rPr>
        <w:t>税费</w:t>
      </w:r>
      <w:r>
        <w:rPr>
          <w:rFonts w:hint="eastAsia" w:ascii="宋体" w:hAnsi="宋体"/>
          <w:b/>
          <w:sz w:val="24"/>
          <w:szCs w:val="24"/>
        </w:rPr>
        <w:t>等。</w:t>
      </w:r>
    </w:p>
    <w:p>
      <w:pPr>
        <w:ind w:firstLine="964" w:firstLineChars="400"/>
        <w:rPr>
          <w:rFonts w:ascii="宋体" w:hAnsi="宋体"/>
          <w:b/>
          <w:sz w:val="24"/>
          <w:szCs w:val="24"/>
        </w:rPr>
      </w:pPr>
      <w:r>
        <w:rPr>
          <w:rFonts w:hint="eastAsia" w:ascii="宋体" w:hAnsi="宋体"/>
          <w:b/>
          <w:sz w:val="24"/>
          <w:szCs w:val="24"/>
        </w:rPr>
        <w:t>2、各单价报价均不能超预算单价，总价报价不能超预算总价。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47D659E1"/>
    <w:multiLevelType w:val="singleLevel"/>
    <w:tmpl w:val="47D659E1"/>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5241F07"/>
    <w:rsid w:val="054E7908"/>
    <w:rsid w:val="05C55124"/>
    <w:rsid w:val="07B922C3"/>
    <w:rsid w:val="08BF7794"/>
    <w:rsid w:val="09D27438"/>
    <w:rsid w:val="0D9378B6"/>
    <w:rsid w:val="11BC3C7C"/>
    <w:rsid w:val="133E4AA9"/>
    <w:rsid w:val="155013FC"/>
    <w:rsid w:val="16220303"/>
    <w:rsid w:val="163B139F"/>
    <w:rsid w:val="19094ED0"/>
    <w:rsid w:val="194417AD"/>
    <w:rsid w:val="1A7254D6"/>
    <w:rsid w:val="1BE804D9"/>
    <w:rsid w:val="1C790F1A"/>
    <w:rsid w:val="1D3E6C48"/>
    <w:rsid w:val="1D4B2E52"/>
    <w:rsid w:val="249917FE"/>
    <w:rsid w:val="262B023E"/>
    <w:rsid w:val="300F0BC6"/>
    <w:rsid w:val="30507EBF"/>
    <w:rsid w:val="31D41ACA"/>
    <w:rsid w:val="35BE2E72"/>
    <w:rsid w:val="3B7B043E"/>
    <w:rsid w:val="3F1E091D"/>
    <w:rsid w:val="45684CF6"/>
    <w:rsid w:val="46791F9D"/>
    <w:rsid w:val="46B17416"/>
    <w:rsid w:val="48A759E8"/>
    <w:rsid w:val="4B2500E2"/>
    <w:rsid w:val="4C7D56AE"/>
    <w:rsid w:val="530807FB"/>
    <w:rsid w:val="569F1AF1"/>
    <w:rsid w:val="5AB30825"/>
    <w:rsid w:val="5B092532"/>
    <w:rsid w:val="616C351D"/>
    <w:rsid w:val="616E7593"/>
    <w:rsid w:val="61B74AB7"/>
    <w:rsid w:val="68A5389A"/>
    <w:rsid w:val="6E520E33"/>
    <w:rsid w:val="70B2141E"/>
    <w:rsid w:val="72EB0EF9"/>
    <w:rsid w:val="73CB7283"/>
    <w:rsid w:val="74EB4E25"/>
    <w:rsid w:val="76C23869"/>
    <w:rsid w:val="785106F5"/>
    <w:rsid w:val="7A0E0DD8"/>
    <w:rsid w:val="7B0B6013"/>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autoRedefine/>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autoRedefine/>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autoRedefine/>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autoRedefine/>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autoRedefine/>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autoRedefine/>
    <w:qFormat/>
    <w:uiPriority w:val="99"/>
    <w:pPr>
      <w:ind w:firstLine="570"/>
    </w:pPr>
    <w:rPr>
      <w:kern w:val="0"/>
      <w:sz w:val="20"/>
    </w:rPr>
  </w:style>
  <w:style w:type="paragraph" w:styleId="11">
    <w:name w:val="Normal Indent"/>
    <w:basedOn w:val="1"/>
    <w:link w:val="124"/>
    <w:autoRedefine/>
    <w:qFormat/>
    <w:uiPriority w:val="99"/>
    <w:pPr>
      <w:ind w:firstLine="420" w:firstLineChars="200"/>
    </w:pPr>
    <w:rPr>
      <w:kern w:val="0"/>
      <w:sz w:val="20"/>
    </w:rPr>
  </w:style>
  <w:style w:type="paragraph" w:styleId="14">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5">
    <w:name w:val="List Bullet 4"/>
    <w:basedOn w:val="1"/>
    <w:autoRedefine/>
    <w:qFormat/>
    <w:locked/>
    <w:uiPriority w:val="99"/>
    <w:pPr>
      <w:numPr>
        <w:ilvl w:val="0"/>
        <w:numId w:val="2"/>
      </w:numPr>
      <w:tabs>
        <w:tab w:val="left" w:pos="1620"/>
      </w:tabs>
    </w:pPr>
    <w:rPr>
      <w:rFonts w:ascii="Calibri" w:hAnsi="Calibri"/>
      <w:szCs w:val="24"/>
    </w:rPr>
  </w:style>
  <w:style w:type="paragraph" w:styleId="16">
    <w:name w:val="List Number"/>
    <w:basedOn w:val="1"/>
    <w:autoRedefine/>
    <w:qFormat/>
    <w:locked/>
    <w:uiPriority w:val="99"/>
    <w:pPr>
      <w:numPr>
        <w:ilvl w:val="0"/>
        <w:numId w:val="1"/>
      </w:numPr>
      <w:tabs>
        <w:tab w:val="left" w:pos="360"/>
      </w:tabs>
    </w:pPr>
    <w:rPr>
      <w:rFonts w:ascii="Calibri" w:hAnsi="Calibri"/>
      <w:szCs w:val="24"/>
    </w:rPr>
  </w:style>
  <w:style w:type="paragraph" w:styleId="17">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autoRedefine/>
    <w:qFormat/>
    <w:locked/>
    <w:uiPriority w:val="99"/>
    <w:pPr>
      <w:shd w:val="clear" w:color="auto" w:fill="000080"/>
    </w:pPr>
    <w:rPr>
      <w:rFonts w:ascii="宋体"/>
      <w:kern w:val="0"/>
      <w:sz w:val="18"/>
      <w:szCs w:val="18"/>
    </w:rPr>
  </w:style>
  <w:style w:type="paragraph" w:styleId="19">
    <w:name w:val="annotation text"/>
    <w:basedOn w:val="1"/>
    <w:link w:val="69"/>
    <w:autoRedefine/>
    <w:qFormat/>
    <w:locked/>
    <w:uiPriority w:val="99"/>
    <w:pPr>
      <w:jc w:val="left"/>
    </w:pPr>
    <w:rPr>
      <w:kern w:val="0"/>
      <w:sz w:val="20"/>
    </w:rPr>
  </w:style>
  <w:style w:type="paragraph" w:styleId="20">
    <w:name w:val="Salutation"/>
    <w:basedOn w:val="1"/>
    <w:next w:val="1"/>
    <w:link w:val="70"/>
    <w:autoRedefine/>
    <w:qFormat/>
    <w:uiPriority w:val="99"/>
    <w:rPr>
      <w:kern w:val="0"/>
      <w:sz w:val="20"/>
    </w:rPr>
  </w:style>
  <w:style w:type="paragraph" w:styleId="21">
    <w:name w:val="Body Text 3"/>
    <w:basedOn w:val="1"/>
    <w:link w:val="71"/>
    <w:autoRedefine/>
    <w:qFormat/>
    <w:locked/>
    <w:uiPriority w:val="99"/>
    <w:pPr>
      <w:spacing w:after="120"/>
    </w:pPr>
    <w:rPr>
      <w:kern w:val="0"/>
      <w:sz w:val="16"/>
      <w:szCs w:val="16"/>
    </w:rPr>
  </w:style>
  <w:style w:type="paragraph" w:styleId="22">
    <w:name w:val="Body Text"/>
    <w:basedOn w:val="1"/>
    <w:link w:val="72"/>
    <w:autoRedefine/>
    <w:qFormat/>
    <w:uiPriority w:val="99"/>
    <w:rPr>
      <w:kern w:val="0"/>
      <w:sz w:val="20"/>
    </w:rPr>
  </w:style>
  <w:style w:type="paragraph" w:styleId="23">
    <w:name w:val="index 4"/>
    <w:basedOn w:val="1"/>
    <w:next w:val="1"/>
    <w:autoRedefine/>
    <w:qFormat/>
    <w:locked/>
    <w:uiPriority w:val="99"/>
    <w:pPr>
      <w:ind w:left="600" w:leftChars="600"/>
    </w:pPr>
    <w:rPr>
      <w:rFonts w:ascii="Calibri" w:hAnsi="Calibri"/>
    </w:rPr>
  </w:style>
  <w:style w:type="paragraph" w:styleId="24">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5">
    <w:name w:val="toc 3"/>
    <w:basedOn w:val="26"/>
    <w:next w:val="26"/>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autoRedefine/>
    <w:qFormat/>
    <w:uiPriority w:val="99"/>
    <w:pPr>
      <w:spacing w:line="500" w:lineRule="exact"/>
      <w:ind w:left="1000"/>
    </w:pPr>
    <w:rPr>
      <w:rFonts w:ascii="Calibri" w:hAnsi="Calibri" w:cs="宋体"/>
      <w:sz w:val="24"/>
    </w:rPr>
  </w:style>
  <w:style w:type="paragraph" w:styleId="27">
    <w:name w:val="Plain Text"/>
    <w:basedOn w:val="1"/>
    <w:link w:val="73"/>
    <w:autoRedefine/>
    <w:qFormat/>
    <w:uiPriority w:val="99"/>
    <w:rPr>
      <w:rFonts w:ascii="宋体" w:hAnsi="Courier New"/>
      <w:kern w:val="0"/>
      <w:szCs w:val="21"/>
    </w:rPr>
  </w:style>
  <w:style w:type="paragraph" w:styleId="28">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autoRedefine/>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autoRedefine/>
    <w:qFormat/>
    <w:uiPriority w:val="99"/>
    <w:rPr>
      <w:kern w:val="0"/>
      <w:sz w:val="2"/>
    </w:rPr>
  </w:style>
  <w:style w:type="paragraph" w:styleId="32">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autoRedefine/>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locked/>
    <w:uiPriority w:val="99"/>
    <w:pPr>
      <w:ind w:left="200" w:hanging="200" w:hangingChars="200"/>
    </w:pPr>
    <w:rPr>
      <w:rFonts w:ascii="Calibri" w:hAnsi="Calibri"/>
      <w:sz w:val="28"/>
      <w:szCs w:val="24"/>
    </w:rPr>
  </w:style>
  <w:style w:type="paragraph" w:styleId="38">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autoRedefine/>
    <w:qFormat/>
    <w:uiPriority w:val="99"/>
    <w:pPr>
      <w:spacing w:line="360" w:lineRule="exact"/>
    </w:pPr>
    <w:rPr>
      <w:kern w:val="0"/>
      <w:sz w:val="20"/>
    </w:rPr>
  </w:style>
  <w:style w:type="paragraph" w:styleId="43">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autoRedefine/>
    <w:qFormat/>
    <w:locked/>
    <w:uiPriority w:val="99"/>
    <w:rPr>
      <w:rFonts w:ascii="Calibri" w:hAnsi="Calibri"/>
      <w:b/>
      <w:bCs/>
    </w:rPr>
  </w:style>
  <w:style w:type="paragraph" w:styleId="47">
    <w:name w:val="Body Text First Indent"/>
    <w:basedOn w:val="22"/>
    <w:link w:val="85"/>
    <w:autoRedefine/>
    <w:qFormat/>
    <w:locked/>
    <w:uiPriority w:val="99"/>
    <w:pPr>
      <w:spacing w:after="120"/>
      <w:ind w:firstLine="420" w:firstLineChars="100"/>
    </w:pPr>
    <w:rPr>
      <w:rFonts w:ascii="Calibri" w:hAnsi="Calibri"/>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4"/>
    <w:autoRedefine/>
    <w:qFormat/>
    <w:locked/>
    <w:uiPriority w:val="99"/>
    <w:rPr>
      <w:rFonts w:cs="Times New Roman"/>
      <w:b/>
      <w:kern w:val="44"/>
      <w:sz w:val="44"/>
    </w:rPr>
  </w:style>
  <w:style w:type="character" w:customStyle="1" w:styleId="58">
    <w:name w:val="标题 2 Char"/>
    <w:basedOn w:val="50"/>
    <w:link w:val="5"/>
    <w:autoRedefine/>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autoRedefine/>
    <w:qFormat/>
    <w:locked/>
    <w:uiPriority w:val="99"/>
    <w:rPr>
      <w:rFonts w:ascii="Arial" w:hAnsi="Arial" w:eastAsia="黑体" w:cs="Times New Roman"/>
      <w:b/>
      <w:sz w:val="20"/>
    </w:rPr>
  </w:style>
  <w:style w:type="character" w:customStyle="1" w:styleId="61">
    <w:name w:val="标题 5 Char"/>
    <w:basedOn w:val="50"/>
    <w:link w:val="8"/>
    <w:autoRedefine/>
    <w:qFormat/>
    <w:locked/>
    <w:uiPriority w:val="99"/>
    <w:rPr>
      <w:rFonts w:ascii="Arial" w:hAnsi="Arial" w:eastAsia="华文中宋" w:cs="Times New Roman"/>
      <w:b/>
      <w:kern w:val="0"/>
      <w:sz w:val="28"/>
    </w:rPr>
  </w:style>
  <w:style w:type="character" w:customStyle="1" w:styleId="62">
    <w:name w:val="标题 6 Char"/>
    <w:basedOn w:val="50"/>
    <w:link w:val="9"/>
    <w:autoRedefine/>
    <w:qFormat/>
    <w:locked/>
    <w:uiPriority w:val="99"/>
    <w:rPr>
      <w:rFonts w:ascii="Cambria" w:hAnsi="Cambria"/>
      <w:b/>
      <w:kern w:val="0"/>
      <w:sz w:val="24"/>
      <w:szCs w:val="20"/>
    </w:rPr>
  </w:style>
  <w:style w:type="character" w:customStyle="1" w:styleId="63">
    <w:name w:val="标题 7 Char"/>
    <w:basedOn w:val="50"/>
    <w:link w:val="10"/>
    <w:autoRedefine/>
    <w:qFormat/>
    <w:locked/>
    <w:uiPriority w:val="99"/>
    <w:rPr>
      <w:rFonts w:ascii="Arial" w:hAnsi="Arial" w:cs="Times New Roman"/>
      <w:b/>
      <w:kern w:val="0"/>
      <w:sz w:val="24"/>
    </w:rPr>
  </w:style>
  <w:style w:type="character" w:customStyle="1" w:styleId="64">
    <w:name w:val="标题 8 Char"/>
    <w:basedOn w:val="50"/>
    <w:link w:val="12"/>
    <w:autoRedefine/>
    <w:qFormat/>
    <w:locked/>
    <w:uiPriority w:val="99"/>
    <w:rPr>
      <w:rFonts w:ascii="Cambria" w:hAnsi="Cambria" w:cs="Times New Roman"/>
      <w:kern w:val="0"/>
      <w:sz w:val="24"/>
    </w:rPr>
  </w:style>
  <w:style w:type="character" w:customStyle="1" w:styleId="65">
    <w:name w:val="标题 9 Char"/>
    <w:basedOn w:val="50"/>
    <w:link w:val="13"/>
    <w:autoRedefine/>
    <w:qFormat/>
    <w:locked/>
    <w:uiPriority w:val="99"/>
    <w:rPr>
      <w:rFonts w:ascii="Cambria" w:hAnsi="Cambria" w:cs="Times New Roman"/>
      <w:kern w:val="0"/>
      <w:sz w:val="21"/>
    </w:rPr>
  </w:style>
  <w:style w:type="character" w:customStyle="1" w:styleId="66">
    <w:name w:val="正文文本缩进 Char"/>
    <w:basedOn w:val="50"/>
    <w:link w:val="3"/>
    <w:autoRedefine/>
    <w:qFormat/>
    <w:locked/>
    <w:uiPriority w:val="99"/>
    <w:rPr>
      <w:rFonts w:cs="Times New Roman"/>
      <w:sz w:val="20"/>
    </w:rPr>
  </w:style>
  <w:style w:type="character" w:customStyle="1" w:styleId="67">
    <w:name w:val="正文首行缩进 2 Char"/>
    <w:basedOn w:val="66"/>
    <w:link w:val="2"/>
    <w:autoRedefine/>
    <w:semiHidden/>
    <w:qFormat/>
    <w:locked/>
    <w:uiPriority w:val="99"/>
    <w:rPr>
      <w:rFonts w:cs="Times New Roman"/>
      <w:sz w:val="20"/>
      <w:szCs w:val="20"/>
    </w:rPr>
  </w:style>
  <w:style w:type="character" w:customStyle="1" w:styleId="68">
    <w:name w:val="文档结构图 Char1"/>
    <w:basedOn w:val="50"/>
    <w:link w:val="18"/>
    <w:autoRedefine/>
    <w:semiHidden/>
    <w:qFormat/>
    <w:locked/>
    <w:uiPriority w:val="99"/>
    <w:rPr>
      <w:rFonts w:ascii="宋体" w:cs="Times New Roman"/>
      <w:sz w:val="18"/>
    </w:rPr>
  </w:style>
  <w:style w:type="character" w:customStyle="1" w:styleId="69">
    <w:name w:val="批注文字 Char1"/>
    <w:basedOn w:val="50"/>
    <w:link w:val="19"/>
    <w:autoRedefine/>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autoRedefine/>
    <w:semiHidden/>
    <w:qFormat/>
    <w:locked/>
    <w:uiPriority w:val="99"/>
    <w:rPr>
      <w:rFonts w:cs="Times New Roman"/>
      <w:sz w:val="16"/>
    </w:rPr>
  </w:style>
  <w:style w:type="character" w:customStyle="1" w:styleId="72">
    <w:name w:val="正文文本 Char"/>
    <w:basedOn w:val="50"/>
    <w:link w:val="22"/>
    <w:autoRedefine/>
    <w:semiHidden/>
    <w:qFormat/>
    <w:locked/>
    <w:uiPriority w:val="99"/>
    <w:rPr>
      <w:rFonts w:cs="Times New Roman"/>
      <w:sz w:val="20"/>
    </w:rPr>
  </w:style>
  <w:style w:type="character" w:customStyle="1" w:styleId="73">
    <w:name w:val="纯文本 Char"/>
    <w:basedOn w:val="50"/>
    <w:link w:val="27"/>
    <w:autoRedefine/>
    <w:qFormat/>
    <w:locked/>
    <w:uiPriority w:val="99"/>
    <w:rPr>
      <w:rFonts w:ascii="宋体" w:hAnsi="Courier New" w:cs="Times New Roman"/>
      <w:sz w:val="21"/>
    </w:rPr>
  </w:style>
  <w:style w:type="character" w:customStyle="1" w:styleId="74">
    <w:name w:val="日期 Char"/>
    <w:basedOn w:val="50"/>
    <w:link w:val="29"/>
    <w:autoRedefine/>
    <w:qFormat/>
    <w:locked/>
    <w:uiPriority w:val="99"/>
    <w:rPr>
      <w:rFonts w:cs="Times New Roman"/>
      <w:sz w:val="20"/>
    </w:rPr>
  </w:style>
  <w:style w:type="character" w:customStyle="1" w:styleId="75">
    <w:name w:val="正文文本缩进 2 Char"/>
    <w:basedOn w:val="50"/>
    <w:link w:val="30"/>
    <w:autoRedefine/>
    <w:semiHidden/>
    <w:qFormat/>
    <w:locked/>
    <w:uiPriority w:val="99"/>
    <w:rPr>
      <w:rFonts w:cs="Times New Roman"/>
      <w:sz w:val="20"/>
    </w:rPr>
  </w:style>
  <w:style w:type="character" w:customStyle="1" w:styleId="76">
    <w:name w:val="批注框文本 Char"/>
    <w:basedOn w:val="50"/>
    <w:link w:val="31"/>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6"/>
    <w:autoRedefine/>
    <w:qFormat/>
    <w:locked/>
    <w:uiPriority w:val="99"/>
    <w:rPr>
      <w:rFonts w:ascii="Cambria" w:hAnsi="Cambria" w:cs="Times New Roman"/>
      <w:b/>
      <w:kern w:val="28"/>
      <w:sz w:val="32"/>
    </w:rPr>
  </w:style>
  <w:style w:type="character" w:customStyle="1" w:styleId="80">
    <w:name w:val="正文文本缩进 3 Char2"/>
    <w:basedOn w:val="50"/>
    <w:link w:val="39"/>
    <w:autoRedefine/>
    <w:semiHidden/>
    <w:qFormat/>
    <w:locked/>
    <w:uiPriority w:val="99"/>
    <w:rPr>
      <w:rFonts w:cs="Times New Roman"/>
      <w:sz w:val="16"/>
    </w:rPr>
  </w:style>
  <w:style w:type="character" w:customStyle="1" w:styleId="81">
    <w:name w:val="正文文本 2 Char"/>
    <w:basedOn w:val="50"/>
    <w:link w:val="42"/>
    <w:autoRedefine/>
    <w:semiHidden/>
    <w:qFormat/>
    <w:locked/>
    <w:uiPriority w:val="99"/>
    <w:rPr>
      <w:rFonts w:cs="Times New Roman"/>
      <w:sz w:val="20"/>
    </w:rPr>
  </w:style>
  <w:style w:type="character" w:customStyle="1" w:styleId="82">
    <w:name w:val="HTML 预设格式 Char1"/>
    <w:basedOn w:val="50"/>
    <w:link w:val="43"/>
    <w:autoRedefine/>
    <w:semiHidden/>
    <w:qFormat/>
    <w:locked/>
    <w:uiPriority w:val="99"/>
    <w:rPr>
      <w:rFonts w:ascii="Courier New" w:hAnsi="Courier New" w:cs="Times New Roman"/>
      <w:sz w:val="20"/>
    </w:rPr>
  </w:style>
  <w:style w:type="character" w:customStyle="1" w:styleId="83">
    <w:name w:val="标题 Char1"/>
    <w:basedOn w:val="50"/>
    <w:link w:val="45"/>
    <w:autoRedefine/>
    <w:qFormat/>
    <w:locked/>
    <w:uiPriority w:val="99"/>
    <w:rPr>
      <w:rFonts w:ascii="Cambria" w:hAnsi="Cambria" w:cs="Times New Roman"/>
      <w:b/>
      <w:sz w:val="32"/>
    </w:rPr>
  </w:style>
  <w:style w:type="character" w:customStyle="1" w:styleId="84">
    <w:name w:val="批注主题 Char"/>
    <w:basedOn w:val="69"/>
    <w:link w:val="46"/>
    <w:autoRedefine/>
    <w:qFormat/>
    <w:locked/>
    <w:uiPriority w:val="99"/>
    <w:rPr>
      <w:rFonts w:ascii="Calibri" w:hAnsi="Calibri" w:cs="Times New Roman"/>
      <w:b/>
      <w:sz w:val="20"/>
    </w:rPr>
  </w:style>
  <w:style w:type="character" w:customStyle="1" w:styleId="85">
    <w:name w:val="正文首行缩进 Char"/>
    <w:basedOn w:val="72"/>
    <w:link w:val="47"/>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3"/>
    <w:autoRedefine/>
    <w:qFormat/>
    <w:locked/>
    <w:uiPriority w:val="99"/>
    <w:rPr>
      <w:sz w:val="18"/>
    </w:rPr>
  </w:style>
  <w:style w:type="character" w:customStyle="1" w:styleId="90">
    <w:name w:val="页脚 Char"/>
    <w:link w:val="32"/>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11"/>
    <w:autoRedefine/>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autoRedefine/>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autoRedefine/>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autoRedefine/>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FC12C-711D-469D-B7F4-47E27E6FBE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367</Words>
  <Characters>2095</Characters>
  <Lines>17</Lines>
  <Paragraphs>4</Paragraphs>
  <TotalTime>23</TotalTime>
  <ScaleCrop>false</ScaleCrop>
  <LinksUpToDate>false</LinksUpToDate>
  <CharactersWithSpaces>2458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pubbing</cp:lastModifiedBy>
  <cp:lastPrinted>2024-01-24T00:07:00Z</cp:lastPrinted>
  <dcterms:modified xsi:type="dcterms:W3CDTF">2024-04-18T08:52:30Z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824BFC47C30B4BBEB97F6C894FA418F4_13</vt:lpwstr>
  </property>
</Properties>
</file>