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聊城市技师学院党员教育电视片视频《智慧叶红烛光》采购项目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28"/>
          <w:szCs w:val="28"/>
          <w:shd w:val="clear" w:color="auto" w:fill="FFFFFF"/>
        </w:rPr>
        <w:t>编号：JYTP2022-011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kern w:val="0"/>
          <w:sz w:val="31"/>
          <w:szCs w:val="31"/>
          <w:shd w:val="clear" w:color="auto" w:fill="FFFFFF"/>
        </w:rPr>
      </w:pPr>
      <w:r>
        <w:rPr>
          <w:rFonts w:hint="eastAsia" w:ascii="黑体" w:hAnsi="黑体" w:eastAsia="黑体"/>
          <w:b/>
          <w:bCs/>
          <w:color w:val="000000"/>
          <w:kern w:val="0"/>
          <w:sz w:val="31"/>
          <w:szCs w:val="31"/>
          <w:shd w:val="clear" w:color="auto" w:fill="FFFFFF"/>
        </w:rPr>
        <w:t>聊城市技师学院</w:t>
      </w:r>
      <w:r>
        <w:rPr>
          <w:rFonts w:hint="eastAsia" w:ascii="黑体" w:hAnsi="黑体" w:eastAsia="黑体"/>
          <w:b/>
          <w:bCs/>
          <w:color w:val="000000"/>
          <w:sz w:val="31"/>
          <w:szCs w:val="31"/>
          <w:shd w:val="clear" w:color="auto" w:fill="FFFFFF"/>
        </w:rPr>
        <w:t>党员教育电视片视频《智慧叶红烛光》</w:t>
      </w:r>
      <w:r>
        <w:rPr>
          <w:rFonts w:hint="eastAsia" w:ascii="黑体" w:hAnsi="黑体" w:eastAsia="黑体"/>
          <w:b/>
          <w:bCs/>
          <w:color w:val="000000"/>
          <w:kern w:val="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二、项目名称：聊城市技师学院党员教育电视片视频《智慧叶红烛光》采购项目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jc w:val="left"/>
        <w:rPr>
          <w:rFonts w:ascii="宋体"/>
          <w:sz w:val="24"/>
          <w:szCs w:val="24"/>
        </w:rPr>
      </w:pPr>
      <w:r>
        <w:rPr>
          <w:rFonts w:hint="eastAsia" w:ascii="宋体" w:hAnsi="宋体"/>
          <w:sz w:val="24"/>
          <w:szCs w:val="24"/>
        </w:rPr>
        <w:t>共一个包：聊城市技师学院党员教育电视片视频《智慧叶红烛光》采购项目，详见项目说明。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2年4月14日</w:t>
      </w:r>
      <w:r>
        <w:rPr>
          <w:rFonts w:ascii="宋体" w:hAnsi="宋体"/>
          <w:sz w:val="24"/>
          <w:szCs w:val="24"/>
        </w:rPr>
        <w:t>-202</w:t>
      </w:r>
      <w:r>
        <w:rPr>
          <w:rFonts w:hint="eastAsia" w:ascii="宋体" w:hAnsi="宋体"/>
          <w:sz w:val="24"/>
          <w:szCs w:val="24"/>
        </w:rPr>
        <w:t>2年4月18日（北京时间），每日上午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年4月18日17时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w:t>
      </w:r>
      <w:r>
        <w:rPr>
          <w:rFonts w:hint="eastAsia" w:ascii="宋体" w:hAnsi="宋体"/>
          <w:sz w:val="24"/>
          <w:szCs w:val="24"/>
          <w:lang w:val="en-US" w:eastAsia="zh-CN"/>
        </w:rPr>
        <w:t>22</w:t>
      </w:r>
      <w:r>
        <w:rPr>
          <w:rFonts w:hint="eastAsia" w:ascii="宋体" w:hAnsi="宋体"/>
          <w:sz w:val="24"/>
          <w:szCs w:val="24"/>
        </w:rPr>
        <w:t>年4月19日0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2</w:t>
      </w:r>
      <w:r>
        <w:rPr>
          <w:rFonts w:hint="eastAsia" w:ascii="宋体" w:hAnsi="宋体"/>
          <w:sz w:val="24"/>
          <w:szCs w:val="24"/>
        </w:rPr>
        <w:t>年 4月13 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聊城市技师学院党员教育电视片视频《智慧叶红烛光》采购项目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聊城市技师学院党员教育电视片视频《智慧叶红烛光》采购项目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hAnsi="宋体"/>
                <w:szCs w:val="21"/>
              </w:rPr>
            </w:pPr>
            <w:r>
              <w:rPr>
                <w:rFonts w:hint="eastAsia" w:ascii="宋体" w:hAnsi="宋体"/>
                <w:szCs w:val="21"/>
              </w:rPr>
              <w:t>交货期</w:t>
            </w:r>
          </w:p>
        </w:tc>
        <w:tc>
          <w:tcPr>
            <w:tcW w:w="8127" w:type="dxa"/>
            <w:vAlign w:val="center"/>
          </w:tcPr>
          <w:p>
            <w:pPr>
              <w:spacing w:line="276" w:lineRule="auto"/>
              <w:jc w:val="left"/>
              <w:rPr>
                <w:rFonts w:ascii="宋体" w:hAnsi="宋体"/>
                <w:szCs w:val="21"/>
              </w:rPr>
            </w:pPr>
            <w:r>
              <w:rPr>
                <w:rFonts w:hint="eastAsia" w:ascii="宋体" w:hAnsi="宋体"/>
                <w:szCs w:val="21"/>
              </w:rPr>
              <w:t>45个日历天内完成。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hAnsi="宋体"/>
                <w:szCs w:val="21"/>
              </w:rPr>
            </w:pPr>
            <w:r>
              <w:rPr>
                <w:rFonts w:hint="eastAsia" w:ascii="宋体" w:hAnsi="宋体"/>
                <w:szCs w:val="21"/>
              </w:rPr>
              <w:t>质保期</w:t>
            </w:r>
          </w:p>
        </w:tc>
        <w:tc>
          <w:tcPr>
            <w:tcW w:w="8127" w:type="dxa"/>
            <w:vAlign w:val="center"/>
          </w:tcPr>
          <w:p>
            <w:pPr>
              <w:spacing w:line="276" w:lineRule="auto"/>
              <w:jc w:val="left"/>
              <w:rPr>
                <w:rFonts w:ascii="宋体" w:hAnsi="宋体"/>
                <w:szCs w:val="21"/>
              </w:rPr>
            </w:pPr>
            <w:r>
              <w:rPr>
                <w:rFonts w:hint="eastAsia" w:ascii="宋体" w:hAnsi="宋体"/>
                <w:szCs w:val="21"/>
              </w:rPr>
              <w:t>自完工验收合格之日起六个月。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szCs w:val="21"/>
              </w:rPr>
            </w:pPr>
            <w:r>
              <w:rPr>
                <w:rFonts w:hint="eastAsia" w:ascii="宋体" w:hAnsi="宋体"/>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单价包死，根据作品分钟数据实结算。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hAnsi="宋体"/>
                <w:szCs w:val="21"/>
              </w:rPr>
            </w:pPr>
            <w:r>
              <w:rPr>
                <w:rFonts w:hint="eastAsia" w:ascii="宋体" w:hAnsi="宋体"/>
                <w:szCs w:val="21"/>
              </w:rPr>
              <w:t>付款方式</w:t>
            </w:r>
          </w:p>
        </w:tc>
        <w:tc>
          <w:tcPr>
            <w:tcW w:w="8127" w:type="dxa"/>
            <w:vAlign w:val="center"/>
          </w:tcPr>
          <w:p>
            <w:pPr>
              <w:spacing w:line="276" w:lineRule="auto"/>
              <w:jc w:val="left"/>
              <w:rPr>
                <w:rFonts w:ascii="宋体" w:hAnsi="宋体"/>
                <w:szCs w:val="21"/>
              </w:rPr>
            </w:pPr>
            <w:r>
              <w:rPr>
                <w:rFonts w:hint="eastAsia" w:ascii="宋体" w:hAnsi="宋体"/>
                <w:szCs w:val="21"/>
              </w:rPr>
              <w:t>完工验收合格后付全款的 90%，质保期满无质量问题付清余款。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hint="eastAsia" w:ascii="宋体" w:hAnsi="宋体"/>
                <w:szCs w:val="21"/>
              </w:rPr>
              <w:t>11</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hint="eastAsia" w:ascii="宋体" w:hAnsi="宋体"/>
                <w:color w:val="000000"/>
                <w:sz w:val="24"/>
                <w:szCs w:val="24"/>
              </w:rPr>
              <w:t>2年4月14日</w:t>
            </w:r>
            <w:r>
              <w:rPr>
                <w:rFonts w:ascii="宋体" w:hAnsi="宋体"/>
                <w:color w:val="000000"/>
                <w:sz w:val="24"/>
                <w:szCs w:val="24"/>
              </w:rPr>
              <w:t>-202</w:t>
            </w:r>
            <w:r>
              <w:rPr>
                <w:rFonts w:hint="eastAsia" w:ascii="宋体" w:hAnsi="宋体"/>
                <w:color w:val="000000"/>
                <w:sz w:val="24"/>
                <w:szCs w:val="24"/>
              </w:rPr>
              <w:t>2年4月18日（北京时间），每日上午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财政性资金，控制价：3万元，报价超过控制价为无效报价。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2年4月19日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2年4月19日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交货期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0" w:firstLineChars="0"/>
      </w:pPr>
    </w:p>
    <w:p>
      <w:pPr>
        <w:pStyle w:val="257"/>
        <w:numPr>
          <w:ilvl w:val="0"/>
          <w:numId w:val="5"/>
        </w:numPr>
        <w:tabs>
          <w:tab w:val="left" w:pos="0"/>
          <w:tab w:val="left" w:pos="180"/>
          <w:tab w:val="left" w:pos="360"/>
        </w:tabs>
        <w:spacing w:line="276" w:lineRule="auto"/>
        <w:ind w:firstLine="0" w:firstLineChars="0"/>
        <w:jc w:val="center"/>
        <w:rPr>
          <w:b/>
          <w:color w:val="000000"/>
          <w:sz w:val="44"/>
        </w:rPr>
      </w:pPr>
      <w:r>
        <w:rPr>
          <w:rFonts w:hint="eastAsia"/>
          <w:b/>
          <w:color w:val="000000"/>
          <w:sz w:val="44"/>
        </w:rPr>
        <w:t>项目说明</w:t>
      </w:r>
    </w:p>
    <w:p>
      <w:pPr>
        <w:pStyle w:val="257"/>
        <w:numPr>
          <w:ilvl w:val="0"/>
          <w:numId w:val="6"/>
        </w:numPr>
        <w:tabs>
          <w:tab w:val="left" w:pos="0"/>
          <w:tab w:val="left" w:pos="180"/>
          <w:tab w:val="left" w:pos="360"/>
        </w:tabs>
        <w:spacing w:line="276" w:lineRule="auto"/>
        <w:ind w:firstLine="480"/>
        <w:rPr>
          <w:rFonts w:ascii="宋体" w:hAnsi="宋体" w:cs="宋体"/>
          <w:kern w:val="0"/>
          <w:sz w:val="24"/>
          <w:szCs w:val="24"/>
        </w:rPr>
      </w:pPr>
      <w:r>
        <w:rPr>
          <w:rFonts w:hint="eastAsia" w:ascii="宋体" w:hAnsi="宋体" w:cs="宋体"/>
          <w:kern w:val="0"/>
          <w:sz w:val="24"/>
          <w:szCs w:val="24"/>
        </w:rPr>
        <w:t>技术参数</w:t>
      </w:r>
    </w:p>
    <w:p>
      <w:pPr>
        <w:autoSpaceDE w:val="0"/>
        <w:autoSpaceDN w:val="0"/>
        <w:adjustRightInd w:val="0"/>
        <w:rPr>
          <w:rFonts w:ascii="宋体" w:hAnsi="宋体" w:cs="仿宋_GB2312"/>
          <w:kern w:val="0"/>
          <w:szCs w:val="21"/>
        </w:rPr>
      </w:pPr>
      <w:r>
        <w:rPr>
          <w:rFonts w:hint="eastAsia" w:ascii="宋体" w:hAnsi="宋体" w:cs="宋体"/>
          <w:kern w:val="0"/>
          <w:sz w:val="24"/>
          <w:szCs w:val="24"/>
        </w:rPr>
        <w:t xml:space="preserve">    </w:t>
      </w:r>
      <w:r>
        <w:rPr>
          <w:rFonts w:hint="eastAsia" w:ascii="宋体" w:hAnsi="宋体" w:cs="仿宋_GB2312"/>
          <w:kern w:val="0"/>
          <w:szCs w:val="21"/>
        </w:rPr>
        <w:t>1．视频格式。</w:t>
      </w:r>
      <w:r>
        <w:rPr>
          <w:rFonts w:ascii="宋体" w:hAnsi="宋体" w:cs="仿宋_GB2312"/>
          <w:kern w:val="0"/>
          <w:szCs w:val="21"/>
        </w:rPr>
        <w:t xml:space="preserve">MP4 </w:t>
      </w:r>
      <w:r>
        <w:rPr>
          <w:rFonts w:hint="eastAsia" w:ascii="宋体" w:hAnsi="宋体" w:cs="仿宋_GB2312"/>
          <w:kern w:val="0"/>
          <w:szCs w:val="21"/>
        </w:rPr>
        <w:t>格式（分辨率</w:t>
      </w:r>
      <w:r>
        <w:rPr>
          <w:rFonts w:ascii="宋体" w:hAnsi="宋体" w:cs="仿宋_GB2312"/>
          <w:kern w:val="0"/>
          <w:szCs w:val="21"/>
        </w:rPr>
        <w:t>1920x1080</w:t>
      </w:r>
      <w:r>
        <w:rPr>
          <w:rFonts w:hint="eastAsia" w:ascii="宋体" w:hAnsi="宋体" w:cs="仿宋_GB2312"/>
          <w:kern w:val="0"/>
          <w:szCs w:val="21"/>
        </w:rPr>
        <w:t>、</w:t>
      </w:r>
      <w:r>
        <w:rPr>
          <w:rFonts w:ascii="宋体" w:hAnsi="宋体" w:cs="仿宋_GB2312"/>
          <w:kern w:val="0"/>
          <w:szCs w:val="21"/>
        </w:rPr>
        <w:t>25P</w:t>
      </w:r>
      <w:r>
        <w:rPr>
          <w:rFonts w:hint="eastAsia" w:ascii="宋体" w:hAnsi="宋体" w:cs="仿宋_GB2312"/>
          <w:kern w:val="0"/>
          <w:szCs w:val="21"/>
        </w:rPr>
        <w:t>编码</w:t>
      </w:r>
      <w:r>
        <w:rPr>
          <w:rFonts w:ascii="宋体" w:hAnsi="宋体" w:cs="仿宋_GB2312"/>
          <w:kern w:val="0"/>
          <w:szCs w:val="21"/>
        </w:rPr>
        <w:t>H264</w:t>
      </w:r>
      <w:r>
        <w:rPr>
          <w:rFonts w:hint="eastAsia" w:ascii="宋体" w:hAnsi="宋体" w:cs="仿宋_GB2312"/>
          <w:kern w:val="0"/>
          <w:szCs w:val="21"/>
        </w:rPr>
        <w:t>、</w:t>
      </w:r>
      <w:r>
        <w:rPr>
          <w:rFonts w:ascii="宋体" w:hAnsi="宋体" w:cs="仿宋_GB2312"/>
          <w:kern w:val="0"/>
          <w:szCs w:val="21"/>
        </w:rPr>
        <w:t xml:space="preserve">25Mbps </w:t>
      </w:r>
      <w:r>
        <w:rPr>
          <w:rFonts w:hint="eastAsia" w:ascii="宋体" w:hAnsi="宋体" w:cs="仿宋_GB2312"/>
          <w:kern w:val="0"/>
          <w:szCs w:val="21"/>
        </w:rPr>
        <w:t>码率（不低于</w:t>
      </w:r>
      <w:r>
        <w:rPr>
          <w:rFonts w:ascii="宋体" w:hAnsi="宋体" w:cs="仿宋_GB2312"/>
          <w:kern w:val="0"/>
          <w:szCs w:val="21"/>
        </w:rPr>
        <w:t xml:space="preserve">15 Mbps </w:t>
      </w:r>
      <w:r>
        <w:rPr>
          <w:rFonts w:hint="eastAsia" w:ascii="宋体" w:hAnsi="宋体" w:cs="仿宋_GB2312"/>
          <w:kern w:val="0"/>
          <w:szCs w:val="21"/>
        </w:rPr>
        <w:t>码率）、</w:t>
      </w:r>
      <w:r>
        <w:rPr>
          <w:rFonts w:ascii="宋体" w:hAnsi="宋体" w:cs="仿宋_GB2312"/>
          <w:kern w:val="0"/>
          <w:szCs w:val="21"/>
        </w:rPr>
        <w:t xml:space="preserve">25 </w:t>
      </w:r>
      <w:r>
        <w:rPr>
          <w:rFonts w:hint="eastAsia" w:ascii="宋体" w:hAnsi="宋体" w:cs="仿宋_GB2312"/>
          <w:kern w:val="0"/>
          <w:szCs w:val="21"/>
        </w:rPr>
        <w:t>帧、</w:t>
      </w:r>
      <w:r>
        <w:rPr>
          <w:rFonts w:ascii="宋体" w:hAnsi="宋体" w:cs="仿宋_GB2312"/>
          <w:kern w:val="0"/>
          <w:szCs w:val="21"/>
        </w:rPr>
        <w:t>16:9</w:t>
      </w:r>
      <w:r>
        <w:rPr>
          <w:rFonts w:hint="eastAsia" w:ascii="宋体" w:hAnsi="宋体" w:cs="仿宋_GB2312"/>
          <w:kern w:val="0"/>
          <w:szCs w:val="21"/>
        </w:rPr>
        <w:t>画幅，视频时长</w:t>
      </w:r>
      <w:r>
        <w:rPr>
          <w:rFonts w:ascii="宋体" w:hAnsi="宋体" w:cs="仿宋_GB2312"/>
          <w:kern w:val="0"/>
          <w:szCs w:val="21"/>
        </w:rPr>
        <w:t>15</w:t>
      </w:r>
      <w:r>
        <w:rPr>
          <w:rFonts w:hint="eastAsia" w:ascii="宋体" w:hAnsi="宋体" w:cs="仿宋_GB2312"/>
          <w:kern w:val="0"/>
          <w:szCs w:val="21"/>
        </w:rPr>
        <w:t>分钟之内。</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2. 画面品质。画面清晰稳定、无杂波、无夹帧、无跳帧丢帧。采用高清画质，图像清晰稳定有层次，色彩自然无偏色（特殊艺术效果除外）。画面构图简洁，镜头运动稳定，被摄对象的形状、线条、明暗、色彩具有质感和立体感。</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3．配音配乐。伴音与画面同步、无失真、统一音量。配音和同期声要高于环境背景声和配乐音效，整体音量要控制在-20dB 到-10dB 之间。采访同期声要清晰，饱满圆润，无失真、无空音。环境音无高分贝噪声干扰，无明显过大过小现象。合成输出双声道注意清晰度。配乐应与表现的情景或烘托的主题相吻合，不同种类风格的配乐要过渡自然。</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4. 字幕标准。字幕符合国家语言文字规范标准，运用准确得当。无错别字、无漏字，一般不加标点符号（特殊指代名词可根据实际合理使用引号或书名号）。字体、字号统一，一般使用简黑体（特殊字幕可部分使用其它字体）。采访同期声全程配字幕，声画字同步，统一使用黑体、36*36/38*38/40*40大小、黑色2 像素描边（不加过重阴影），左对齐（或中间对齐）、字幕左沿下沿与内安全框对齐，同屏唱词一般不超过14个字。长度单位使用公里、米、毫米等；面积单位使用公顷、亩、平方米等；重量单位使用吨、公斤、克等；体积单位使用立方米、公升、毫升等；温度单位使用摄氏（字幕可使用℃，读音须读为摄氏XX 度）；速度单位使用每小时XX 公里、每小时XX 米、每秒XX 米（字幕可使用公里/小时、米/小时、米/秒），以上单位的所有数字均使用阿拉伯数字显示。化学元素名称均使用汉字表示，不可用英语缩略字词替代。</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5. 片头片尾。长视频要素要完整，有片头、片名、片尾，片头要体现视频主题内容，适当进行后期包装，一般不超过15 秒；片尾有制作单位和制作时间的落幅，一般为黑底白字，单位名称要规范准确（一般使用单位党组织的规范名称），无需加“制作单位”四个字，静帧不超过5 秒，自然转场黑场时间不超过3 秒；片中不出现创作人员姓名，片尾不出现演职表。</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6. 素材引用。素材引用勿侵权、注版权。引用相关素材在画面右上角标明“影像资料”“影视资料”或“资料”（具体视内容详情而定）。视频中有情景再现画面需右上角标注“情景再现”。重要的历史图片或资料适当后期处理，保证画面清晰。引用带有明显LOGO 素材（如CCTV、优酷、腾讯等）一般要加遮罩。</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7. 画面剪辑。剪辑流畅、准确，符合电视技术规范和蒙太奇剪辑逻辑。内容节奏要有“起承转合”，镜头组接顺畅，特技运用合理，场面调度有序。合成输出影像画面，无彩条、夹帧和黑场等。</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8．出镜人物。出镜频率高和特写镜头中的人物应有人物信息，包括姓名、单位职务和政治身份（党内职务在前、行政职务在后）。拍摄主要人物如是党员，应规范佩戴党员徽章。不得选用有丑闻劣迹、政治有瑕疵或有争议的被采访人、主持人、选手、评委、嘉宾等。不突出地方领导干部形象（以领导干部事迹为主题的除外），包含领导干部的中近景镜头画面要控制数量，一般不超过2 个。出镜人物的着装、发型、台风、语言等应符合大众审美观念。非公共场所拍摄的主要出镜人物涉及未成年人、被帮扶群众、残障人士的，需征得拍摄对象或监护人同意，拍摄对象为同性恋、艾滋病患者、涉案人员等特殊群体，拍摄并露出面部镜头需征得拍摄对象明确同意，并留存相关证明证据，注意避免法律纠纷，如上述拍摄对象没有明确表明态度，一般要对面部镜头进行技术处理。</w:t>
      </w:r>
    </w:p>
    <w:p>
      <w:pPr>
        <w:autoSpaceDE w:val="0"/>
        <w:autoSpaceDN w:val="0"/>
        <w:adjustRightInd w:val="0"/>
        <w:ind w:firstLine="420" w:firstLineChars="200"/>
        <w:rPr>
          <w:rFonts w:ascii="宋体" w:hAnsi="宋体" w:cs="仿宋_GB2312"/>
          <w:kern w:val="0"/>
          <w:szCs w:val="21"/>
        </w:rPr>
      </w:pPr>
      <w:r>
        <w:rPr>
          <w:rFonts w:hint="eastAsia" w:ascii="宋体" w:hAnsi="宋体" w:cs="仿宋_GB2312"/>
          <w:kern w:val="0"/>
          <w:szCs w:val="21"/>
        </w:rPr>
        <w:t>9.其他。（1）视频画面中涉及党旗党徽的镜头或版面，必须要符合《中国共产党党徽党旗条例》相关规定，说法要符合规范，不得在党徽党旗上添加任何文字、符号和图案等。（2）规范使用国家地图，涉及国家主权及台湾、澳门、香港等表述要严谨，“台湾”与“祖国大陆（或‘大陆’）”为对应概念，“香港”“澳门”与“内地”为对应概念，不得弄混。“新中国成立”不得用“建国以来”代替，“疫情”不得使用“疫区”代替。（3）涉及军队及其他涉密单位镜头、内容的，需提供涉及单位审核同意公开播放证明（函）；涉及个人隐私的，需进行技术处理。（4）凡涉及民族宗教的有关镜头，必须与统战部门进行联审，确保镜头合适、说法合规。（5）高频率出现的《唱支山歌给党听》《我和我的祖国》等文化素养类MV 视频可提高审核要求。动画类视频课件包装及内容不能过于简单，特殊纪念标志（如建党100 周年庆祝活动标识等）要用官方公布的标准版本。</w:t>
      </w:r>
    </w:p>
    <w:p>
      <w:pPr>
        <w:pStyle w:val="2"/>
        <w:ind w:firstLine="400"/>
        <w:rPr>
          <w:rFonts w:ascii="宋体" w:hAnsi="宋体" w:cs="仿宋_GB2312"/>
          <w:szCs w:val="21"/>
        </w:rPr>
      </w:pPr>
    </w:p>
    <w:p>
      <w:pPr>
        <w:pStyle w:val="2"/>
        <w:ind w:firstLine="400"/>
        <w:rPr>
          <w:rFonts w:ascii="宋体" w:hAnsi="宋体" w:cs="仿宋_GB2312"/>
          <w:szCs w:val="21"/>
        </w:rPr>
      </w:pPr>
    </w:p>
    <w:p>
      <w:pPr>
        <w:pStyle w:val="2"/>
        <w:ind w:firstLine="400"/>
        <w:rPr>
          <w:rFonts w:ascii="宋体" w:hAnsi="宋体" w:cs="仿宋_GB2312"/>
          <w:szCs w:val="21"/>
        </w:rPr>
      </w:pPr>
    </w:p>
    <w:p>
      <w:pPr>
        <w:pStyle w:val="2"/>
        <w:ind w:firstLine="400"/>
        <w:rPr>
          <w:rFonts w:ascii="宋体" w:hAnsi="宋体" w:cs="仿宋_GB2312"/>
          <w:szCs w:val="21"/>
        </w:rPr>
      </w:pPr>
    </w:p>
    <w:p>
      <w:pPr>
        <w:pStyle w:val="2"/>
        <w:ind w:firstLine="400"/>
        <w:rPr>
          <w:rFonts w:ascii="宋体" w:hAnsi="宋体" w:cs="仿宋_GB2312"/>
          <w:szCs w:val="21"/>
        </w:rPr>
      </w:pPr>
    </w:p>
    <w:p>
      <w:pPr>
        <w:pStyle w:val="2"/>
        <w:ind w:firstLine="400"/>
        <w:rPr>
          <w:rFonts w:ascii="宋体" w:hAnsi="宋体" w:cs="仿宋_GB2312"/>
          <w:szCs w:val="21"/>
        </w:rPr>
      </w:pPr>
    </w:p>
    <w:p>
      <w:pPr>
        <w:pStyle w:val="2"/>
        <w:ind w:firstLine="400"/>
        <w:rPr>
          <w:rFonts w:ascii="宋体" w:hAnsi="宋体" w:cs="仿宋_GB2312"/>
          <w:szCs w:val="21"/>
        </w:rPr>
      </w:pPr>
    </w:p>
    <w:p>
      <w:pPr>
        <w:pStyle w:val="257"/>
        <w:tabs>
          <w:tab w:val="left" w:pos="0"/>
          <w:tab w:val="left" w:pos="180"/>
          <w:tab w:val="left" w:pos="360"/>
        </w:tabs>
        <w:spacing w:line="276" w:lineRule="auto"/>
        <w:ind w:firstLine="0" w:firstLineChars="0"/>
        <w:rPr>
          <w:rFonts w:ascii="宋体" w:hAnsi="宋体" w:cs="仿宋_GB2312"/>
          <w:kern w:val="0"/>
          <w:szCs w:val="21"/>
        </w:rPr>
      </w:pPr>
      <w:r>
        <w:rPr>
          <w:rFonts w:hint="eastAsia" w:ascii="宋体" w:hAnsi="宋体" w:cs="仿宋_GB2312"/>
          <w:kern w:val="0"/>
          <w:szCs w:val="21"/>
        </w:rPr>
        <w:t>二、明细</w:t>
      </w:r>
    </w:p>
    <w:tbl>
      <w:tblPr>
        <w:tblStyle w:val="47"/>
        <w:tblW w:w="9680" w:type="dxa"/>
        <w:tblInd w:w="95" w:type="dxa"/>
        <w:tblLayout w:type="fixed"/>
        <w:tblCellMar>
          <w:top w:w="0" w:type="dxa"/>
          <w:left w:w="108" w:type="dxa"/>
          <w:bottom w:w="0" w:type="dxa"/>
          <w:right w:w="108" w:type="dxa"/>
        </w:tblCellMar>
      </w:tblPr>
      <w:tblGrid>
        <w:gridCol w:w="2988"/>
        <w:gridCol w:w="1230"/>
        <w:gridCol w:w="1318"/>
        <w:gridCol w:w="1186"/>
        <w:gridCol w:w="1059"/>
        <w:gridCol w:w="1022"/>
        <w:gridCol w:w="877"/>
      </w:tblGrid>
      <w:tr>
        <w:tblPrEx>
          <w:tblCellMar>
            <w:top w:w="0" w:type="dxa"/>
            <w:left w:w="108" w:type="dxa"/>
            <w:bottom w:w="0" w:type="dxa"/>
            <w:right w:w="108" w:type="dxa"/>
          </w:tblCellMar>
        </w:tblPrEx>
        <w:trPr>
          <w:trHeight w:val="845" w:hRule="atLeast"/>
        </w:trPr>
        <w:tc>
          <w:tcPr>
            <w:tcW w:w="2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3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10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2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党员教育电视片视频《智慧叶红烛光》</w:t>
            </w:r>
          </w:p>
        </w:tc>
        <w:tc>
          <w:tcPr>
            <w:tcW w:w="123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szCs w:val="24"/>
              </w:rPr>
            </w:pPr>
            <w:r>
              <w:rPr>
                <w:rFonts w:hint="eastAsia" w:ascii="宋体" w:hAnsi="宋体" w:cs="宋体"/>
                <w:kern w:val="0"/>
                <w:sz w:val="24"/>
                <w:szCs w:val="24"/>
              </w:rPr>
              <w:t>详见项目说明一技术参数部分</w:t>
            </w:r>
          </w:p>
        </w:tc>
        <w:tc>
          <w:tcPr>
            <w:tcW w:w="13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分钟</w:t>
            </w:r>
          </w:p>
        </w:tc>
        <w:tc>
          <w:tcPr>
            <w:tcW w:w="11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  计</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18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05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02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p>
        </w:tc>
        <w:tc>
          <w:tcPr>
            <w:tcW w:w="87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left"/>
        <w:rPr>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3073" o:spt="20" style="position:absolute;left:0pt;margin-left:-25.65pt;margin-top:745.8pt;height:0.05pt;width:495pt;z-index:102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3074" o:spt="20" style="position:absolute;left:0pt;margin-left:0pt;margin-top:-0.75pt;height:0.05pt;width:483pt;z-index:102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C2A04"/>
    <w:multiLevelType w:val="singleLevel"/>
    <w:tmpl w:val="96CC2A04"/>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58B07775"/>
    <w:multiLevelType w:val="singleLevel"/>
    <w:tmpl w:val="58B0777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3E96"/>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29C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2918"/>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741542"/>
    <w:rsid w:val="02FA1A9A"/>
    <w:rsid w:val="038B6436"/>
    <w:rsid w:val="03970EF3"/>
    <w:rsid w:val="041501D7"/>
    <w:rsid w:val="04A257AA"/>
    <w:rsid w:val="058A4BA6"/>
    <w:rsid w:val="059F136D"/>
    <w:rsid w:val="06F253F2"/>
    <w:rsid w:val="06F52A8A"/>
    <w:rsid w:val="07964507"/>
    <w:rsid w:val="07C31330"/>
    <w:rsid w:val="07DF5B23"/>
    <w:rsid w:val="08BF5B48"/>
    <w:rsid w:val="08D261D9"/>
    <w:rsid w:val="097526C6"/>
    <w:rsid w:val="098A2566"/>
    <w:rsid w:val="09A5670C"/>
    <w:rsid w:val="0A0F2D9E"/>
    <w:rsid w:val="0A167850"/>
    <w:rsid w:val="0A244D17"/>
    <w:rsid w:val="0A4E30C0"/>
    <w:rsid w:val="0AA860ED"/>
    <w:rsid w:val="0B02141F"/>
    <w:rsid w:val="0B0D24FA"/>
    <w:rsid w:val="0B1C2259"/>
    <w:rsid w:val="0C4E6DC9"/>
    <w:rsid w:val="0C9749FC"/>
    <w:rsid w:val="0D78104A"/>
    <w:rsid w:val="0E884FE3"/>
    <w:rsid w:val="0EE72D66"/>
    <w:rsid w:val="0FBD55F1"/>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94D492B"/>
    <w:rsid w:val="1B1D4FAA"/>
    <w:rsid w:val="1BEA7EA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52670C0"/>
    <w:rsid w:val="26A0505C"/>
    <w:rsid w:val="26CF01D7"/>
    <w:rsid w:val="26E92BE5"/>
    <w:rsid w:val="27591FC8"/>
    <w:rsid w:val="276B40B8"/>
    <w:rsid w:val="27E156E8"/>
    <w:rsid w:val="284A3801"/>
    <w:rsid w:val="291D7302"/>
    <w:rsid w:val="292234D2"/>
    <w:rsid w:val="294C1E4F"/>
    <w:rsid w:val="2989303E"/>
    <w:rsid w:val="2A1D3914"/>
    <w:rsid w:val="2A8F5EDF"/>
    <w:rsid w:val="2AAF6E72"/>
    <w:rsid w:val="2B5D6A49"/>
    <w:rsid w:val="2BD40774"/>
    <w:rsid w:val="2D875E63"/>
    <w:rsid w:val="2E4224EC"/>
    <w:rsid w:val="2E6633B7"/>
    <w:rsid w:val="2E7B76D4"/>
    <w:rsid w:val="2EB9369F"/>
    <w:rsid w:val="2F0F7EF9"/>
    <w:rsid w:val="312373B8"/>
    <w:rsid w:val="31C6563D"/>
    <w:rsid w:val="31CC5F39"/>
    <w:rsid w:val="326004B7"/>
    <w:rsid w:val="329C1497"/>
    <w:rsid w:val="32E501F6"/>
    <w:rsid w:val="32E7031D"/>
    <w:rsid w:val="337D2F21"/>
    <w:rsid w:val="3449704B"/>
    <w:rsid w:val="34AA1BEB"/>
    <w:rsid w:val="35214587"/>
    <w:rsid w:val="36C450EA"/>
    <w:rsid w:val="36DE4BEE"/>
    <w:rsid w:val="372B0E58"/>
    <w:rsid w:val="37600F54"/>
    <w:rsid w:val="385D54DA"/>
    <w:rsid w:val="39037B98"/>
    <w:rsid w:val="394C682D"/>
    <w:rsid w:val="39AF2477"/>
    <w:rsid w:val="39D63694"/>
    <w:rsid w:val="39F85030"/>
    <w:rsid w:val="3AB504E0"/>
    <w:rsid w:val="3B6358CD"/>
    <w:rsid w:val="3CF5550F"/>
    <w:rsid w:val="3D6D4C64"/>
    <w:rsid w:val="3E040F4F"/>
    <w:rsid w:val="3E6752E6"/>
    <w:rsid w:val="3EFA245A"/>
    <w:rsid w:val="3F03242F"/>
    <w:rsid w:val="3F381352"/>
    <w:rsid w:val="3FAB36A5"/>
    <w:rsid w:val="40197335"/>
    <w:rsid w:val="404E1D8E"/>
    <w:rsid w:val="42884AE7"/>
    <w:rsid w:val="42D645ED"/>
    <w:rsid w:val="43145819"/>
    <w:rsid w:val="43AA2830"/>
    <w:rsid w:val="45740BF7"/>
    <w:rsid w:val="458478D0"/>
    <w:rsid w:val="488E726B"/>
    <w:rsid w:val="48C338B0"/>
    <w:rsid w:val="48E9042E"/>
    <w:rsid w:val="490B63E4"/>
    <w:rsid w:val="490E2801"/>
    <w:rsid w:val="497E1ECC"/>
    <w:rsid w:val="499C55AC"/>
    <w:rsid w:val="4AB14C9B"/>
    <w:rsid w:val="4C914DAA"/>
    <w:rsid w:val="4D391754"/>
    <w:rsid w:val="4DD2247B"/>
    <w:rsid w:val="4EC5424A"/>
    <w:rsid w:val="4F334013"/>
    <w:rsid w:val="4FB73553"/>
    <w:rsid w:val="4FC36BAD"/>
    <w:rsid w:val="506B057F"/>
    <w:rsid w:val="50DA35EB"/>
    <w:rsid w:val="51356296"/>
    <w:rsid w:val="5137274D"/>
    <w:rsid w:val="513E2BCC"/>
    <w:rsid w:val="516221F4"/>
    <w:rsid w:val="52B513BE"/>
    <w:rsid w:val="52EE2690"/>
    <w:rsid w:val="52F06AED"/>
    <w:rsid w:val="54055868"/>
    <w:rsid w:val="54873EFA"/>
    <w:rsid w:val="558B0BD8"/>
    <w:rsid w:val="55A10B0C"/>
    <w:rsid w:val="57690B0F"/>
    <w:rsid w:val="577034B9"/>
    <w:rsid w:val="586C2BCD"/>
    <w:rsid w:val="587D4C70"/>
    <w:rsid w:val="58AF26A9"/>
    <w:rsid w:val="59051876"/>
    <w:rsid w:val="5B7900D3"/>
    <w:rsid w:val="5CA81F4E"/>
    <w:rsid w:val="5CCC024F"/>
    <w:rsid w:val="5E1F68F4"/>
    <w:rsid w:val="5E9C4A03"/>
    <w:rsid w:val="5F3F76E2"/>
    <w:rsid w:val="5FA075C1"/>
    <w:rsid w:val="60863CE3"/>
    <w:rsid w:val="60B33B2A"/>
    <w:rsid w:val="611E4CE6"/>
    <w:rsid w:val="61ED18D2"/>
    <w:rsid w:val="62261DC0"/>
    <w:rsid w:val="6227678D"/>
    <w:rsid w:val="628B593E"/>
    <w:rsid w:val="62FA251D"/>
    <w:rsid w:val="630A1CA9"/>
    <w:rsid w:val="639419C4"/>
    <w:rsid w:val="639700D0"/>
    <w:rsid w:val="63D04191"/>
    <w:rsid w:val="64586514"/>
    <w:rsid w:val="64F64B50"/>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E1070A4"/>
    <w:rsid w:val="6F313F1B"/>
    <w:rsid w:val="70A632B6"/>
    <w:rsid w:val="71CF423C"/>
    <w:rsid w:val="72A83F2A"/>
    <w:rsid w:val="72F57E2C"/>
    <w:rsid w:val="73C43CBC"/>
    <w:rsid w:val="73E04E4D"/>
    <w:rsid w:val="743F3744"/>
    <w:rsid w:val="767A1C83"/>
    <w:rsid w:val="77226245"/>
    <w:rsid w:val="7788733D"/>
    <w:rsid w:val="77BD35D3"/>
    <w:rsid w:val="796A5940"/>
    <w:rsid w:val="797759E6"/>
    <w:rsid w:val="79AC52DF"/>
    <w:rsid w:val="79E05030"/>
    <w:rsid w:val="7A3B0D17"/>
    <w:rsid w:val="7A471AA7"/>
    <w:rsid w:val="7AF85FA1"/>
    <w:rsid w:val="7B0C506D"/>
    <w:rsid w:val="7BA36815"/>
    <w:rsid w:val="7BF15DBE"/>
    <w:rsid w:val="7D3127F3"/>
    <w:rsid w:val="7EAD46D4"/>
    <w:rsid w:val="7F04016F"/>
    <w:rsid w:val="7FBC1427"/>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kern w:val="44"/>
      <w:sz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kern w:val="0"/>
      <w:sz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kern w:val="0"/>
      <w:sz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kern w:val="0"/>
      <w:sz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kern w:val="28"/>
      <w:sz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kern w:val="0"/>
      <w:sz w:val="32"/>
    </w:rPr>
  </w:style>
  <w:style w:type="paragraph" w:styleId="45">
    <w:name w:val="annotation subject"/>
    <w:basedOn w:val="19"/>
    <w:next w:val="19"/>
    <w:link w:val="83"/>
    <w:qFormat/>
    <w:locked/>
    <w:uiPriority w:val="99"/>
    <w:rPr>
      <w:rFonts w:ascii="Calibri" w:hAnsi="Calibri"/>
      <w:b/>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qFormat/>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628</Words>
  <Characters>3583</Characters>
  <Lines>29</Lines>
  <Paragraphs>8</Paragraphs>
  <TotalTime>5</TotalTime>
  <ScaleCrop>false</ScaleCrop>
  <LinksUpToDate>false</LinksUpToDate>
  <CharactersWithSpaces>4203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2022-04-13T08:05:00Z</dcterms:created>
  <dc:creator>5idn</dc:creator>
  <cp:lastModifiedBy>花枝招展的我</cp:lastModifiedBy>
  <cp:lastPrinted>2019-10-30T06:07:00Z</cp:lastPrinted>
  <dcterms:modified xsi:type="dcterms:W3CDTF">2022-04-13T10:27:38Z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13E16B478024402EB799332B4D079855</vt:lpwstr>
  </property>
</Properties>
</file>