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学院数据中心机房主供电缆更换安装采购项目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2" w:name="_GoBack"/>
      <w:bookmarkStart w:id="0" w:name="_Toc441648515"/>
      <w:r>
        <w:rPr>
          <w:rFonts w:hint="eastAsia" w:ascii="宋体" w:hAnsi="宋体" w:eastAsia="宋体"/>
          <w:b/>
          <w:bCs/>
          <w:sz w:val="28"/>
          <w:szCs w:val="28"/>
          <w:highlight w:val="none"/>
          <w:lang w:val="en-US" w:eastAsia="zh-CN"/>
        </w:rPr>
        <w:t>学院数据中心机房主供电缆更换安装采购项目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bookmarkEnd w:id="2"/>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学院数据中心机房主供电缆更换安装采购项目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学院数据中心机房主供电缆更换安装采购项目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020-</w:t>
      </w:r>
      <w:r>
        <w:rPr>
          <w:rFonts w:hint="eastAsia" w:ascii="宋体" w:hAnsi="宋体" w:eastAsia="宋体"/>
          <w:b/>
          <w:bCs/>
          <w:color w:val="auto"/>
          <w:sz w:val="24"/>
          <w:szCs w:val="24"/>
          <w:highlight w:val="none"/>
          <w:lang w:val="en-US" w:eastAsia="zh-CN"/>
        </w:rPr>
        <w:t>电缆更换安装</w:t>
      </w:r>
      <w:r>
        <w:rPr>
          <w:rFonts w:hint="eastAsia" w:ascii="宋体" w:hAnsi="宋体"/>
          <w:b/>
          <w:bCs/>
          <w:color w:val="auto"/>
          <w:sz w:val="24"/>
          <w:szCs w:val="24"/>
          <w:highlight w:val="none"/>
          <w:lang w:val="en-US" w:eastAsia="zh-CN"/>
        </w:rPr>
        <w:t>-公司名称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sz w:val="24"/>
          <w:szCs w:val="24"/>
          <w:highlight w:val="none"/>
        </w:rPr>
      </w:pPr>
      <w:r>
        <w:rPr>
          <w:rFonts w:hint="eastAsia" w:ascii="宋体" w:hAnsi="宋体"/>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8</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学院数据中心机房主供电缆更换安装采购项目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学院数据中心机房主供电缆更换安装采购项目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19740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供货</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要求</w:t>
            </w:r>
          </w:p>
        </w:tc>
        <w:tc>
          <w:tcPr>
            <w:tcW w:w="8127" w:type="dxa"/>
            <w:vAlign w:val="center"/>
          </w:tcPr>
          <w:p w14:paraId="2475CE23">
            <w:pPr>
              <w:spacing w:line="276"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天内完成供货</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安装，并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保证符合本</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规格</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根据采购人需求数量指定位置进行更换安装完成并验收完成后一次性付清。（依据财政实际拨款情况，进行支付）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13</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4*95+1*50；五芯电缆</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3CC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E1E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B9DB8F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3207B">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E3A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242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5E5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841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7D0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51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331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79524D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84FD9">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942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2D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D9C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0E6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4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E9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3"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1DC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E0292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CF3F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81E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E06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762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9D8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5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06B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6F3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DDF508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B1288">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CEC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864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D5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B87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950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5AB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E0B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72BF1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2187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0AD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624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6E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5C4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AAF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39A0B95D">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CCFF30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auto"/>
          <w:kern w:val="2"/>
          <w:sz w:val="44"/>
          <w:highlight w:val="none"/>
          <w:lang w:val="en-US" w:eastAsia="zh-CN" w:bidi="ar-SA"/>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auto"/>
          <w:sz w:val="44"/>
          <w:highlight w:val="none"/>
        </w:rPr>
      </w:pPr>
      <w:r>
        <w:rPr>
          <w:rFonts w:hint="eastAsia" w:ascii="Calibri" w:hAnsi="Calibri" w:eastAsia="宋体" w:cs="Times New Roman"/>
          <w:b/>
          <w:color w:val="auto"/>
          <w:kern w:val="2"/>
          <w:sz w:val="44"/>
          <w:highlight w:val="none"/>
          <w:lang w:val="en-US" w:eastAsia="zh-CN" w:bidi="ar-SA"/>
        </w:rPr>
        <w:t>三、</w:t>
      </w: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5540897F">
      <w:pPr>
        <w:bidi w:val="0"/>
        <w:ind w:firstLine="440" w:firstLineChars="200"/>
        <w:rPr>
          <w:rFonts w:hint="eastAsia"/>
          <w:sz w:val="22"/>
          <w:szCs w:val="21"/>
          <w:lang w:eastAsia="zh-CN"/>
        </w:rPr>
      </w:pPr>
      <w:r>
        <w:rPr>
          <w:rFonts w:hint="eastAsia"/>
          <w:sz w:val="22"/>
          <w:szCs w:val="21"/>
          <w:lang w:eastAsia="zh-CN"/>
        </w:rPr>
        <w:t>明确电缆型号、规格及数量，并确保符合设计要求，水平敷设 ：沿桥架单层敷设，拐弯处符合弯曲半径要求。接头制作需符合电气规范，确保电气性能可靠。</w:t>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4*95+1*50；五芯电缆</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14190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7D9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473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3C3207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三相空开</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F185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3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D37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562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917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798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27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2CE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ED7ED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三相电表+互感器</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50ED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D3F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39D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619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C49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A92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1D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CBC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54383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C34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430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11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4D9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6B8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EDB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DB5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7E4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F3D1E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32A0B">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200*150 </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铁喷塑</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0C8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772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428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481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235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6C6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3D9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7A402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16CD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BF0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9DF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250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792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3600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E33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19740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2F3C76F3">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5F21AB7A">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677A81"/>
    <w:rsid w:val="05720AA9"/>
    <w:rsid w:val="05C018BB"/>
    <w:rsid w:val="05C55124"/>
    <w:rsid w:val="07B922C3"/>
    <w:rsid w:val="08BF7794"/>
    <w:rsid w:val="09D27438"/>
    <w:rsid w:val="0B7F7B23"/>
    <w:rsid w:val="0B8F435E"/>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F971487"/>
    <w:rsid w:val="1FC655DB"/>
    <w:rsid w:val="201725C8"/>
    <w:rsid w:val="234C3850"/>
    <w:rsid w:val="23994FAD"/>
    <w:rsid w:val="242B68C9"/>
    <w:rsid w:val="249917FE"/>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5EA77A1"/>
    <w:rsid w:val="3827318B"/>
    <w:rsid w:val="38433B03"/>
    <w:rsid w:val="38482EC7"/>
    <w:rsid w:val="39CE5556"/>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376897"/>
    <w:rsid w:val="4C7D56AE"/>
    <w:rsid w:val="4E363F79"/>
    <w:rsid w:val="4F2F6019"/>
    <w:rsid w:val="50273724"/>
    <w:rsid w:val="522310E7"/>
    <w:rsid w:val="5295731E"/>
    <w:rsid w:val="530807FB"/>
    <w:rsid w:val="535C7FA9"/>
    <w:rsid w:val="53F046E7"/>
    <w:rsid w:val="54D87DBE"/>
    <w:rsid w:val="569F1AF1"/>
    <w:rsid w:val="56C97471"/>
    <w:rsid w:val="57034731"/>
    <w:rsid w:val="59514339"/>
    <w:rsid w:val="5AB30825"/>
    <w:rsid w:val="5B092532"/>
    <w:rsid w:val="5C9A78E6"/>
    <w:rsid w:val="5CDA6C77"/>
    <w:rsid w:val="5D7A3273"/>
    <w:rsid w:val="5E5166CA"/>
    <w:rsid w:val="5F6B569F"/>
    <w:rsid w:val="616C351D"/>
    <w:rsid w:val="616E7593"/>
    <w:rsid w:val="61B74AB7"/>
    <w:rsid w:val="63BE468E"/>
    <w:rsid w:val="66980920"/>
    <w:rsid w:val="67F47638"/>
    <w:rsid w:val="68A5389A"/>
    <w:rsid w:val="69BF4B84"/>
    <w:rsid w:val="6A470AE2"/>
    <w:rsid w:val="6D6F4477"/>
    <w:rsid w:val="6E3D15FF"/>
    <w:rsid w:val="6E520E33"/>
    <w:rsid w:val="6E585FED"/>
    <w:rsid w:val="6F6D2C38"/>
    <w:rsid w:val="70B2141E"/>
    <w:rsid w:val="72D7706D"/>
    <w:rsid w:val="72EB0EF9"/>
    <w:rsid w:val="73CB7283"/>
    <w:rsid w:val="74EB4E25"/>
    <w:rsid w:val="75BF7F65"/>
    <w:rsid w:val="76C23869"/>
    <w:rsid w:val="785106F5"/>
    <w:rsid w:val="789C02D6"/>
    <w:rsid w:val="78F876FF"/>
    <w:rsid w:val="7A0E0DD8"/>
    <w:rsid w:val="7ACD0A2E"/>
    <w:rsid w:val="7B0B6013"/>
    <w:rsid w:val="7B7F5C3B"/>
    <w:rsid w:val="7BE43DE5"/>
    <w:rsid w:val="7BF11DCA"/>
    <w:rsid w:val="7D081463"/>
    <w:rsid w:val="7D117D40"/>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2222</Words>
  <Characters>2495</Characters>
  <Lines>17</Lines>
  <Paragraphs>4</Paragraphs>
  <TotalTime>0</TotalTime>
  <ScaleCrop>false</ScaleCrop>
  <LinksUpToDate>false</LinksUpToDate>
  <CharactersWithSpaces>2575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2025-08-13T03:59:13Z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3E8410E4A4844A11B5AD6288E79AA399_13</vt:lpwstr>
  </property>
  <property fmtid="{D5CDD505-2E9C-101B-9397-08002B2CF9AE}" pid="4" name="KSOTemplateDocerSaveRecord">
    <vt:lpwstr>eyJoZGlkIjoiZDE4NWI4ZTVkMWQ3ZWIxM2YxY2Q2YWQ1MzM3Nzc0NjUiLCJ1c2VySWQiOiI0MTQ1MjQwNTYifQ==</vt:lpwstr>
  </property>
</Properties>
</file>