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left="4352" w:leftChars="294" w:hanging="3735" w:hangingChars="1200"/>
      </w:pPr>
      <w:r>
        <w:rPr>
          <w:rFonts w:hint="eastAsia" w:ascii="黑体" w:hAnsi="黑体" w:eastAsia="黑体"/>
          <w:b/>
          <w:bCs/>
          <w:color w:val="000000"/>
          <w:sz w:val="31"/>
          <w:szCs w:val="31"/>
          <w:shd w:val="clear" w:color="auto" w:fill="FFFFFF"/>
        </w:rPr>
        <w:t>聊城市技师学院第二届趣味运动会运动员意外伤害保险采购项目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编号：JYTP2023-011</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二三年四月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聊城市技师学院第二届趣味运动会运动员意外伤害保险采购项目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二、项目名称：聊城市技师学院第二届趣味运动会运动员意外伤害保险采购项目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个包：聊城市技师学院第二届趣味运动会运动员意外伤害保险采购项目，详见项目说明。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80" w:lineRule="auto"/>
        <w:ind w:firstLine="480" w:firstLineChars="200"/>
        <w:jc w:val="left"/>
        <w:rPr>
          <w:rFonts w:hint="eastAsia" w:ascii="宋体" w:hAnsi="宋体"/>
          <w:sz w:val="24"/>
          <w:szCs w:val="24"/>
        </w:rPr>
      </w:pPr>
      <w:r>
        <w:rPr>
          <w:rFonts w:hint="eastAsia" w:ascii="宋体" w:hAnsi="宋体"/>
          <w:sz w:val="24"/>
          <w:szCs w:val="24"/>
        </w:rPr>
        <w:t>1、在中国境内注册,具有合法的营业执照,由中国保险监督委员会批准设立的，具有本次项目经营权的法人或负责人或其分支机构(含分公司、支公司)；</w:t>
      </w:r>
    </w:p>
    <w:p>
      <w:pPr>
        <w:adjustRightInd w:val="0"/>
        <w:snapToGrid w:val="0"/>
        <w:spacing w:line="480" w:lineRule="auto"/>
        <w:ind w:firstLine="480" w:firstLineChars="200"/>
        <w:jc w:val="left"/>
        <w:rPr>
          <w:rFonts w:hint="eastAsia" w:ascii="宋体" w:hAnsi="宋体"/>
          <w:sz w:val="24"/>
          <w:szCs w:val="24"/>
        </w:rPr>
      </w:pPr>
      <w:r>
        <w:rPr>
          <w:rFonts w:hint="eastAsia" w:ascii="宋体" w:hAnsi="宋体"/>
          <w:sz w:val="24"/>
          <w:szCs w:val="24"/>
        </w:rPr>
        <w:t>2、供应商应具备中华人民共和国经营保险业务许可证，且具备相应的经营范围；</w:t>
      </w:r>
    </w:p>
    <w:p>
      <w:pPr>
        <w:adjustRightInd w:val="0"/>
        <w:snapToGrid w:val="0"/>
        <w:spacing w:line="480" w:lineRule="auto"/>
        <w:ind w:firstLine="480" w:firstLineChars="200"/>
        <w:jc w:val="left"/>
        <w:rPr>
          <w:rFonts w:hint="eastAsia" w:ascii="宋体" w:hAnsi="宋体"/>
          <w:sz w:val="24"/>
          <w:szCs w:val="24"/>
        </w:rPr>
      </w:pPr>
      <w:r>
        <w:rPr>
          <w:rFonts w:hint="eastAsia" w:ascii="宋体" w:hAnsi="宋体"/>
          <w:sz w:val="24"/>
          <w:szCs w:val="24"/>
        </w:rPr>
        <w:t>3、本项目不接受联合体报价。</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3年4月2</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3年4月2</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3年4月2</w:t>
      </w:r>
      <w:r>
        <w:rPr>
          <w:rFonts w:hint="eastAsia" w:ascii="宋体" w:hAnsi="宋体"/>
          <w:szCs w:val="21"/>
          <w:lang w:val="en-US" w:eastAsia="zh-CN"/>
        </w:rPr>
        <w:t>7</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3年4月2</w:t>
      </w:r>
      <w:r>
        <w:rPr>
          <w:rFonts w:hint="eastAsia" w:ascii="宋体" w:hAnsi="宋体"/>
          <w:szCs w:val="21"/>
          <w:lang w:val="en-US" w:eastAsia="zh-CN"/>
        </w:rPr>
        <w:t>7</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hint="eastAsia" w:ascii="宋体" w:hAns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ind w:left="9840" w:hanging="9840" w:hangingChars="4100"/>
        <w:jc w:val="left"/>
        <w:rPr>
          <w:rFonts w:hint="eastAsia"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2023年 4月2</w:t>
      </w:r>
      <w:r>
        <w:rPr>
          <w:rFonts w:hint="eastAsia" w:ascii="宋体" w:hAnsi="宋体"/>
          <w:color w:val="000000"/>
          <w:sz w:val="24"/>
          <w:szCs w:val="24"/>
          <w:lang w:val="en-US" w:eastAsia="zh-CN"/>
        </w:rPr>
        <w:t>3</w:t>
      </w:r>
      <w:r>
        <w:rPr>
          <w:rFonts w:hint="eastAsia" w:ascii="宋体" w:hAnsi="宋体"/>
          <w:color w:val="000000"/>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聊城市技师学院第二届趣味运动会运动员意外伤害保险采购项目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3</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采购内容</w:t>
            </w:r>
          </w:p>
        </w:tc>
        <w:tc>
          <w:tcPr>
            <w:tcW w:w="8127" w:type="dxa"/>
            <w:vAlign w:val="center"/>
          </w:tcPr>
          <w:p>
            <w:pPr>
              <w:pStyle w:val="101"/>
              <w:spacing w:line="276" w:lineRule="auto"/>
              <w:jc w:val="both"/>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本项目共一个标段，主要内容为聊城市技师学院第二届趣味运动会运动员意外伤害保险采购项目。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4</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供应商资格要求</w:t>
            </w:r>
          </w:p>
        </w:tc>
        <w:tc>
          <w:tcPr>
            <w:tcW w:w="8127" w:type="dxa"/>
            <w:vAlign w:val="center"/>
          </w:tcPr>
          <w:p>
            <w:pPr>
              <w:spacing w:line="276" w:lineRule="auto"/>
              <w:jc w:val="left"/>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1、在中国境内注册,具有合法的营业执照,由中国保险监督委员会批准设立的，具有本次项目经营权的法人或负责人或其分支机构(含分公司、支公司)；</w:t>
            </w:r>
          </w:p>
          <w:p>
            <w:pPr>
              <w:spacing w:line="276" w:lineRule="auto"/>
              <w:jc w:val="left"/>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2、供应商应具备中华人民共和国经营保险业务许可证，且具备相应的经营范围；</w:t>
            </w:r>
          </w:p>
          <w:p>
            <w:pPr>
              <w:spacing w:line="276" w:lineRule="auto"/>
              <w:jc w:val="left"/>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3、本项目不接受联合体报价。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5</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采购方式</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6</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质量等级</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7</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服务期</w:t>
            </w:r>
          </w:p>
        </w:tc>
        <w:tc>
          <w:tcPr>
            <w:tcW w:w="8127" w:type="dxa"/>
            <w:vAlign w:val="center"/>
          </w:tcPr>
          <w:p>
            <w:pPr>
              <w:spacing w:line="276" w:lineRule="auto"/>
              <w:jc w:val="left"/>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保期2023年4月28日0时-24时。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8</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结算方式</w:t>
            </w:r>
          </w:p>
        </w:tc>
        <w:tc>
          <w:tcPr>
            <w:tcW w:w="8127" w:type="dxa"/>
            <w:vAlign w:val="center"/>
          </w:tcPr>
          <w:p>
            <w:pPr>
              <w:spacing w:line="276" w:lineRule="auto"/>
              <w:jc w:val="left"/>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根据实际投保人数据实结算。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9</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付款方式</w:t>
            </w:r>
          </w:p>
        </w:tc>
        <w:tc>
          <w:tcPr>
            <w:tcW w:w="8127" w:type="dxa"/>
            <w:vAlign w:val="center"/>
          </w:tcPr>
          <w:p>
            <w:pPr>
              <w:pStyle w:val="101"/>
              <w:spacing w:line="276" w:lineRule="auto"/>
              <w:jc w:val="both"/>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保期完成后一次性付清。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10</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获取文件时间</w:t>
            </w:r>
          </w:p>
        </w:tc>
        <w:tc>
          <w:tcPr>
            <w:tcW w:w="8127" w:type="dxa"/>
            <w:vAlign w:val="center"/>
          </w:tcPr>
          <w:p>
            <w:pPr>
              <w:spacing w:line="276" w:lineRule="auto"/>
              <w:jc w:val="left"/>
              <w:rPr>
                <w:rFonts w:hint="eastAsia" w:ascii="宋体" w:hAnsi="宋体" w:eastAsia="宋体" w:cs="Times New Roman"/>
                <w:bCs/>
                <w:spacing w:val="0"/>
                <w:kern w:val="2"/>
                <w:sz w:val="21"/>
                <w:szCs w:val="21"/>
                <w:lang w:val="en-US" w:eastAsia="zh-CN" w:bidi="ar-SA"/>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3年4月2</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3年4月2</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日</w:t>
            </w:r>
            <w:r>
              <w:rPr>
                <w:rFonts w:hint="eastAsia" w:ascii="宋体" w:hAnsi="宋体" w:eastAsia="宋体" w:cs="Times New Roman"/>
                <w:bCs/>
                <w:spacing w:val="0"/>
                <w:kern w:val="2"/>
                <w:sz w:val="21"/>
                <w:szCs w:val="21"/>
                <w:lang w:val="en-US" w:eastAsia="zh-CN" w:bidi="ar-SA"/>
              </w:rPr>
              <w:t>（北京时间），每日上午8:30-11:30，下午14:30-17:00（北京时间）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11</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资金来源</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财政性资金，控制总价：10080元，报价超过控制价为无效报价。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12</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报价文件份数</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13</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勘察现场</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14</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报价截止时间</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2023年4月2</w:t>
            </w:r>
            <w:r>
              <w:rPr>
                <w:rFonts w:hint="eastAsia" w:ascii="宋体" w:hAnsi="宋体" w:cs="Times New Roman"/>
                <w:bCs/>
                <w:spacing w:val="0"/>
                <w:kern w:val="2"/>
                <w:sz w:val="21"/>
                <w:szCs w:val="21"/>
                <w:lang w:val="en-US" w:eastAsia="zh-CN" w:bidi="ar-SA"/>
              </w:rPr>
              <w:t>7</w:t>
            </w:r>
            <w:r>
              <w:rPr>
                <w:rFonts w:hint="eastAsia" w:ascii="宋体" w:hAnsi="宋体" w:eastAsia="宋体" w:cs="Times New Roman"/>
                <w:bCs/>
                <w:spacing w:val="0"/>
                <w:kern w:val="2"/>
                <w:sz w:val="21"/>
                <w:szCs w:val="21"/>
                <w:lang w:val="en-US" w:eastAsia="zh-CN" w:bidi="ar-SA"/>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15</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谈判时间</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2023年4月2</w:t>
            </w:r>
            <w:r>
              <w:rPr>
                <w:rFonts w:hint="eastAsia" w:ascii="宋体" w:hAnsi="宋体" w:cs="Times New Roman"/>
                <w:bCs/>
                <w:spacing w:val="0"/>
                <w:kern w:val="2"/>
                <w:sz w:val="21"/>
                <w:szCs w:val="21"/>
                <w:lang w:val="en-US" w:eastAsia="zh-CN" w:bidi="ar-SA"/>
              </w:rPr>
              <w:t>7</w:t>
            </w:r>
            <w:r>
              <w:rPr>
                <w:rFonts w:hint="eastAsia" w:ascii="宋体" w:hAnsi="宋体" w:eastAsia="宋体" w:cs="Times New Roman"/>
                <w:bCs/>
                <w:spacing w:val="0"/>
                <w:kern w:val="2"/>
                <w:sz w:val="21"/>
                <w:szCs w:val="21"/>
                <w:lang w:val="en-US" w:eastAsia="zh-CN" w:bidi="ar-SA"/>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16</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谈判地点</w:t>
            </w:r>
          </w:p>
        </w:tc>
        <w:tc>
          <w:tcPr>
            <w:tcW w:w="8127" w:type="dxa"/>
            <w:vAlign w:val="center"/>
          </w:tcPr>
          <w:p>
            <w:pPr>
              <w:pStyle w:val="101"/>
              <w:spacing w:line="276" w:lineRule="auto"/>
              <w:jc w:val="both"/>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聊城市技师学院汇智楼A401室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17</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逾期违约金</w:t>
            </w:r>
          </w:p>
        </w:tc>
        <w:tc>
          <w:tcPr>
            <w:tcW w:w="8127" w:type="dxa"/>
            <w:vAlign w:val="center"/>
          </w:tcPr>
          <w:p>
            <w:pPr>
              <w:pStyle w:val="101"/>
              <w:spacing w:line="276" w:lineRule="auto"/>
              <w:jc w:val="both"/>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因乙方原因造成服务期未延误的，逾期违约金500元/天，并承担由此造成的一切损失。</w:t>
            </w:r>
          </w:p>
        </w:tc>
      </w:tr>
    </w:tbl>
    <w:p>
      <w:pPr>
        <w:tabs>
          <w:tab w:val="left" w:pos="0"/>
          <w:tab w:val="left" w:pos="180"/>
          <w:tab w:val="left" w:pos="360"/>
        </w:tabs>
        <w:spacing w:line="360" w:lineRule="auto"/>
        <w:ind w:firstLine="2730" w:firstLineChars="1300"/>
        <w:rPr>
          <w:rFonts w:ascii="宋体" w:cs="宋体"/>
          <w:b/>
          <w:bCs/>
          <w:kern w:val="0"/>
          <w:sz w:val="24"/>
          <w:szCs w:val="24"/>
        </w:rPr>
      </w:pPr>
      <w:r>
        <w:rPr>
          <w:rFonts w:hint="eastAsia" w:ascii="宋体" w:hAnsi="宋体" w:eastAsia="宋体" w:cs="Times New Roman"/>
          <w:bCs/>
          <w:spacing w:val="0"/>
          <w:kern w:val="2"/>
          <w:sz w:val="21"/>
          <w:szCs w:val="21"/>
          <w:lang w:val="en-US" w:eastAsia="zh-CN" w:bidi="ar-SA"/>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hint="eastAsia" w:ascii="宋体" w:hAnsi="宋体" w:cs="宋体"/>
          <w:b/>
          <w:bCs/>
          <w:sz w:val="24"/>
          <w:szCs w:val="24"/>
        </w:rPr>
      </w:pPr>
      <w:r>
        <w:rPr>
          <w:rFonts w:hint="eastAsia" w:ascii="宋体" w:hAnsi="宋体" w:cs="宋体"/>
          <w:b/>
          <w:bCs/>
          <w:sz w:val="24"/>
          <w:szCs w:val="24"/>
        </w:rPr>
        <w:t>2.中华人民共和国经营保险业务许可证复印件加盖公章；</w:t>
      </w:r>
    </w:p>
    <w:p>
      <w:pPr>
        <w:spacing w:line="360" w:lineRule="auto"/>
        <w:rPr>
          <w:rFonts w:ascii="宋体" w:cs="宋体"/>
          <w:b/>
          <w:bCs/>
          <w:sz w:val="24"/>
          <w:szCs w:val="24"/>
        </w:rPr>
      </w:pPr>
      <w:r>
        <w:rPr>
          <w:rFonts w:hint="eastAsia" w:ascii="宋体" w:hAnsi="宋体" w:cs="宋体"/>
          <w:b/>
          <w:bCs/>
          <w:sz w:val="24"/>
          <w:szCs w:val="24"/>
        </w:rPr>
        <w:t>3</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hint="eastAsia" w:ascii="宋体" w:hAnsi="宋体"/>
                <w:b/>
                <w:kern w:val="0"/>
                <w:szCs w:val="21"/>
                <w:lang w:val="zh-CN"/>
              </w:rPr>
            </w:pPr>
            <w:r>
              <w:rPr>
                <w:rFonts w:hint="eastAsia" w:ascii="宋体" w:hAnsi="宋体"/>
                <w:b/>
                <w:kern w:val="0"/>
                <w:szCs w:val="21"/>
                <w:lang w:val="zh-CN"/>
              </w:rPr>
              <w:t>服务期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spacing w:line="480" w:lineRule="auto"/>
        <w:rPr>
          <w:b/>
          <w:sz w:val="24"/>
          <w:szCs w:val="24"/>
        </w:rPr>
      </w:pPr>
      <w:r>
        <w:t>注：必须付分项报价表</w:t>
      </w:r>
    </w:p>
    <w:p>
      <w:pPr>
        <w:widowControl/>
        <w:jc w:val="left"/>
        <w:rPr>
          <w:b/>
          <w:sz w:val="24"/>
          <w:szCs w:val="24"/>
        </w:rPr>
      </w:pPr>
      <w:r>
        <w:rPr>
          <w:b/>
          <w:sz w:val="24"/>
          <w:szCs w:val="24"/>
        </w:rPr>
        <w:br w:type="page"/>
      </w:r>
    </w:p>
    <w:p>
      <w:pPr>
        <w:spacing w:line="480" w:lineRule="auto"/>
        <w:rPr>
          <w:b/>
          <w:color w:val="000000"/>
          <w:sz w:val="44"/>
        </w:rPr>
      </w:pPr>
      <w:r>
        <w:rPr>
          <w:rFonts w:hint="eastAsia"/>
          <w:b/>
          <w:sz w:val="24"/>
          <w:szCs w:val="24"/>
        </w:rPr>
        <w:t>附件：</w:t>
      </w:r>
      <w:r>
        <w:rPr>
          <w:rFonts w:hint="eastAsia"/>
          <w:b/>
          <w:bCs/>
          <w:sz w:val="32"/>
          <w:szCs w:val="32"/>
        </w:rPr>
        <w:t>分项报价表（项目说明中如有则需要提供）</w:t>
      </w:r>
    </w:p>
    <w:tbl>
      <w:tblPr>
        <w:tblStyle w:val="47"/>
        <w:tblW w:w="9262"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244"/>
        <w:gridCol w:w="153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244" w:type="dxa"/>
          </w:tcPr>
          <w:p>
            <w:pPr>
              <w:jc w:val="left"/>
              <w:rPr>
                <w:sz w:val="24"/>
              </w:rPr>
            </w:pPr>
            <w:r>
              <w:rPr>
                <w:rFonts w:hint="eastAsia"/>
                <w:sz w:val="24"/>
              </w:rPr>
              <w:t>预计单价（元）</w:t>
            </w:r>
          </w:p>
        </w:tc>
        <w:tc>
          <w:tcPr>
            <w:tcW w:w="1538" w:type="dxa"/>
          </w:tcPr>
          <w:p>
            <w:pPr>
              <w:jc w:val="left"/>
              <w:rPr>
                <w:sz w:val="24"/>
              </w:rPr>
            </w:pPr>
            <w:r>
              <w:rPr>
                <w:rFonts w:hint="eastAsia"/>
                <w:sz w:val="24"/>
              </w:rPr>
              <w:t>预计金额（元）</w:t>
            </w:r>
          </w:p>
        </w:tc>
        <w:tc>
          <w:tcPr>
            <w:tcW w:w="1500"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3"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lang w:bidi="ar"/>
              </w:rPr>
              <w:t>运动员意外伤害险外外面）</w:t>
            </w:r>
          </w:p>
        </w:tc>
        <w:tc>
          <w:tcPr>
            <w:tcW w:w="1185" w:type="dxa"/>
            <w:vAlign w:val="center"/>
          </w:tcPr>
          <w:p>
            <w:pPr>
              <w:widowControl/>
              <w:jc w:val="left"/>
              <w:textAlignment w:val="center"/>
              <w:rPr>
                <w:rFonts w:ascii="宋体" w:hAnsi="宋体"/>
                <w:color w:val="000000"/>
                <w:sz w:val="24"/>
                <w:szCs w:val="24"/>
              </w:rPr>
            </w:pPr>
          </w:p>
        </w:tc>
        <w:tc>
          <w:tcPr>
            <w:tcW w:w="1245" w:type="dxa"/>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人</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lang w:bidi="ar"/>
              </w:rPr>
              <w:t>1120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bl>
    <w:p>
      <w:pPr>
        <w:pStyle w:val="257"/>
        <w:tabs>
          <w:tab w:val="left" w:pos="0"/>
          <w:tab w:val="left" w:pos="180"/>
          <w:tab w:val="left" w:pos="360"/>
        </w:tabs>
        <w:spacing w:line="276" w:lineRule="auto"/>
        <w:ind w:firstLine="3534" w:firstLineChars="800"/>
        <w:rPr>
          <w:b/>
          <w:color w:val="000000"/>
          <w:sz w:val="44"/>
        </w:rPr>
      </w:pPr>
      <w:r>
        <w:rPr>
          <w:rFonts w:hint="eastAsia"/>
          <w:b/>
          <w:color w:val="000000"/>
          <w:sz w:val="44"/>
        </w:rPr>
        <w:t>三、项目要求：</w:t>
      </w:r>
    </w:p>
    <w:p>
      <w:pPr>
        <w:pStyle w:val="257"/>
        <w:tabs>
          <w:tab w:val="left" w:pos="0"/>
          <w:tab w:val="left" w:pos="180"/>
          <w:tab w:val="left" w:pos="360"/>
        </w:tabs>
        <w:spacing w:line="276" w:lineRule="auto"/>
        <w:ind w:firstLine="0" w:firstLineChars="0"/>
        <w:rPr>
          <w:rFonts w:hint="eastAsia" w:ascii="Times New Roman" w:hAnsi="Times New Roman"/>
          <w:sz w:val="24"/>
        </w:rPr>
      </w:pPr>
      <w:r>
        <w:rPr>
          <w:rFonts w:hint="eastAsia" w:ascii="Times New Roman" w:hAnsi="Times New Roman"/>
          <w:sz w:val="24"/>
        </w:rPr>
        <w:t>保期：2023年4月28日0时-24时。</w:t>
      </w:r>
    </w:p>
    <w:p>
      <w:pPr>
        <w:pStyle w:val="257"/>
        <w:tabs>
          <w:tab w:val="left" w:pos="0"/>
          <w:tab w:val="left" w:pos="180"/>
          <w:tab w:val="left" w:pos="360"/>
        </w:tabs>
        <w:spacing w:line="276" w:lineRule="auto"/>
        <w:ind w:firstLine="0" w:firstLineChars="0"/>
        <w:rPr>
          <w:rFonts w:hint="eastAsia" w:ascii="Times New Roman" w:hAnsi="Times New Roman"/>
          <w:sz w:val="24"/>
        </w:rPr>
      </w:pPr>
      <w:r>
        <w:rPr>
          <w:rFonts w:hint="eastAsia" w:ascii="Times New Roman" w:hAnsi="Times New Roman"/>
          <w:sz w:val="24"/>
        </w:rPr>
        <w:t>保额：意外伤害身故和残疾</w:t>
      </w:r>
      <w:r>
        <w:rPr>
          <w:rFonts w:hint="eastAsia" w:ascii="Times New Roman" w:hAnsi="Times New Roman"/>
          <w:sz w:val="24"/>
          <w:lang w:val="en-US" w:eastAsia="zh-CN"/>
        </w:rPr>
        <w:t>10</w:t>
      </w:r>
      <w:r>
        <w:rPr>
          <w:rFonts w:hint="eastAsia" w:ascii="Times New Roman" w:hAnsi="Times New Roman"/>
          <w:sz w:val="24"/>
        </w:rPr>
        <w:t>万；意外伤害医疗</w:t>
      </w:r>
      <w:r>
        <w:rPr>
          <w:rFonts w:hint="eastAsia" w:ascii="Times New Roman" w:hAnsi="Times New Roman"/>
          <w:sz w:val="24"/>
          <w:lang w:val="en-US" w:eastAsia="zh-CN"/>
        </w:rPr>
        <w:t>2</w:t>
      </w:r>
      <w:r>
        <w:rPr>
          <w:rFonts w:hint="eastAsia" w:ascii="Times New Roman" w:hAnsi="Times New Roman"/>
          <w:sz w:val="24"/>
        </w:rPr>
        <w:t>万。</w:t>
      </w:r>
    </w:p>
    <w:p>
      <w:pPr>
        <w:pStyle w:val="257"/>
        <w:numPr>
          <w:ilvl w:val="0"/>
          <w:numId w:val="5"/>
        </w:numPr>
        <w:tabs>
          <w:tab w:val="left" w:pos="0"/>
          <w:tab w:val="left" w:pos="180"/>
          <w:tab w:val="left" w:pos="360"/>
        </w:tabs>
        <w:spacing w:line="276" w:lineRule="auto"/>
        <w:ind w:firstLine="883"/>
        <w:jc w:val="center"/>
        <w:rPr>
          <w:b/>
          <w:color w:val="000000"/>
          <w:sz w:val="44"/>
        </w:rPr>
      </w:pPr>
      <w:r>
        <w:rPr>
          <w:rFonts w:hint="eastAsia"/>
          <w:b/>
          <w:color w:val="000000"/>
          <w:sz w:val="44"/>
        </w:rPr>
        <w:t>用料清单：</w:t>
      </w:r>
    </w:p>
    <w:tbl>
      <w:tblPr>
        <w:tblStyle w:val="47"/>
        <w:tblW w:w="9262"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244"/>
        <w:gridCol w:w="153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244" w:type="dxa"/>
          </w:tcPr>
          <w:p>
            <w:pPr>
              <w:jc w:val="left"/>
              <w:rPr>
                <w:sz w:val="24"/>
              </w:rPr>
            </w:pPr>
            <w:r>
              <w:rPr>
                <w:rFonts w:hint="eastAsia"/>
                <w:sz w:val="24"/>
              </w:rPr>
              <w:t>预计单价（元）</w:t>
            </w:r>
          </w:p>
        </w:tc>
        <w:tc>
          <w:tcPr>
            <w:tcW w:w="1538" w:type="dxa"/>
          </w:tcPr>
          <w:p>
            <w:pPr>
              <w:jc w:val="left"/>
              <w:rPr>
                <w:sz w:val="24"/>
              </w:rPr>
            </w:pPr>
            <w:r>
              <w:rPr>
                <w:rFonts w:hint="eastAsia"/>
                <w:sz w:val="24"/>
              </w:rPr>
              <w:t>预计金额（元）</w:t>
            </w:r>
          </w:p>
        </w:tc>
        <w:tc>
          <w:tcPr>
            <w:tcW w:w="1500"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lang w:bidi="ar"/>
              </w:rPr>
              <w:t>运动员意外伤害险外外面）</w:t>
            </w:r>
          </w:p>
        </w:tc>
        <w:tc>
          <w:tcPr>
            <w:tcW w:w="1185" w:type="dxa"/>
            <w:vAlign w:val="center"/>
          </w:tcPr>
          <w:p>
            <w:pPr>
              <w:widowControl/>
              <w:jc w:val="left"/>
              <w:textAlignment w:val="center"/>
              <w:rPr>
                <w:rFonts w:ascii="宋体" w:hAnsi="宋体"/>
                <w:color w:val="000000"/>
                <w:sz w:val="24"/>
                <w:szCs w:val="24"/>
              </w:rPr>
            </w:pPr>
          </w:p>
        </w:tc>
        <w:tc>
          <w:tcPr>
            <w:tcW w:w="1245" w:type="dxa"/>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人</w:t>
            </w:r>
          </w:p>
        </w:tc>
        <w:tc>
          <w:tcPr>
            <w:tcW w:w="1215" w:type="dxa"/>
            <w:vAlign w:val="center"/>
          </w:tcPr>
          <w:p>
            <w:pPr>
              <w:widowControl/>
              <w:jc w:val="right"/>
              <w:textAlignment w:val="center"/>
              <w:rPr>
                <w:rFonts w:hint="eastAsia" w:ascii="宋体" w:hAnsi="宋体" w:cs="宋体"/>
                <w:color w:val="000000"/>
                <w:kern w:val="0"/>
                <w:sz w:val="24"/>
                <w:szCs w:val="24"/>
                <w:lang w:bidi="ar"/>
              </w:rPr>
            </w:pPr>
          </w:p>
          <w:p>
            <w:pPr>
              <w:widowControl/>
              <w:jc w:val="right"/>
              <w:textAlignment w:val="center"/>
              <w:rPr>
                <w:rFonts w:ascii="宋体" w:hAnsi="宋体"/>
                <w:color w:val="000000"/>
                <w:sz w:val="24"/>
                <w:szCs w:val="24"/>
              </w:rPr>
            </w:pPr>
            <w:r>
              <w:rPr>
                <w:rFonts w:hint="eastAsia" w:ascii="宋体" w:hAnsi="宋体" w:cs="宋体"/>
                <w:color w:val="000000"/>
                <w:kern w:val="0"/>
                <w:sz w:val="24"/>
                <w:szCs w:val="24"/>
                <w:lang w:bidi="ar"/>
              </w:rPr>
              <w:t>1120</w:t>
            </w:r>
          </w:p>
        </w:tc>
        <w:tc>
          <w:tcPr>
            <w:tcW w:w="1244" w:type="dxa"/>
          </w:tcPr>
          <w:p>
            <w:pPr>
              <w:jc w:val="left"/>
              <w:rPr>
                <w:rFonts w:hint="eastAsia"/>
                <w:b w:val="0"/>
                <w:bCs w:val="0"/>
                <w:sz w:val="28"/>
                <w:szCs w:val="28"/>
                <w:lang w:val="en-US" w:eastAsia="zh-CN"/>
              </w:rPr>
            </w:pPr>
          </w:p>
          <w:p>
            <w:pPr>
              <w:ind w:firstLine="480" w:firstLineChars="200"/>
              <w:jc w:val="left"/>
              <w:rPr>
                <w:rFonts w:hint="eastAsia" w:eastAsia="宋体"/>
                <w:b w:val="0"/>
                <w:bCs w:val="0"/>
                <w:sz w:val="28"/>
                <w:szCs w:val="28"/>
                <w:lang w:val="en-US" w:eastAsia="zh-CN"/>
              </w:rPr>
            </w:pPr>
            <w:r>
              <w:rPr>
                <w:rFonts w:hint="eastAsia" w:ascii="宋体" w:hAnsi="宋体" w:cs="宋体"/>
                <w:color w:val="000000"/>
                <w:kern w:val="0"/>
                <w:sz w:val="24"/>
                <w:szCs w:val="24"/>
                <w:lang w:val="en-US" w:eastAsia="zh-CN" w:bidi="ar"/>
              </w:rPr>
              <w:t>9</w:t>
            </w:r>
          </w:p>
        </w:tc>
        <w:tc>
          <w:tcPr>
            <w:tcW w:w="1538" w:type="dxa"/>
          </w:tcPr>
          <w:p>
            <w:pPr>
              <w:jc w:val="left"/>
              <w:rPr>
                <w:rFonts w:hint="eastAsia"/>
                <w:b w:val="0"/>
                <w:bCs w:val="0"/>
                <w:sz w:val="28"/>
                <w:szCs w:val="28"/>
                <w:lang w:val="en-US" w:eastAsia="zh-CN"/>
              </w:rPr>
            </w:pPr>
          </w:p>
          <w:p>
            <w:pPr>
              <w:ind w:firstLine="240" w:firstLineChars="100"/>
              <w:jc w:val="left"/>
              <w:rPr>
                <w:rFonts w:hint="default" w:eastAsia="宋体"/>
                <w:b w:val="0"/>
                <w:bCs w:val="0"/>
                <w:sz w:val="28"/>
                <w:szCs w:val="28"/>
                <w:lang w:val="en-US" w:eastAsia="zh-CN"/>
              </w:rPr>
            </w:pPr>
            <w:bookmarkStart w:id="2" w:name="_GoBack"/>
            <w:bookmarkEnd w:id="2"/>
            <w:r>
              <w:rPr>
                <w:rFonts w:hint="eastAsia" w:ascii="宋体" w:hAnsi="宋体" w:cs="宋体"/>
                <w:color w:val="000000"/>
                <w:kern w:val="0"/>
                <w:sz w:val="24"/>
                <w:szCs w:val="24"/>
                <w:lang w:val="en-US" w:eastAsia="zh-CN" w:bidi="ar"/>
              </w:rPr>
              <w:t>10080</w:t>
            </w:r>
          </w:p>
        </w:tc>
        <w:tc>
          <w:tcPr>
            <w:tcW w:w="1500" w:type="dxa"/>
          </w:tcPr>
          <w:p>
            <w:pPr>
              <w:jc w:val="left"/>
              <w:rPr>
                <w:sz w:val="28"/>
                <w:szCs w:val="28"/>
              </w:rPr>
            </w:pPr>
          </w:p>
        </w:tc>
      </w:tr>
    </w:tbl>
    <w:p>
      <w:pPr>
        <w:pStyle w:val="257"/>
        <w:tabs>
          <w:tab w:val="left" w:pos="0"/>
          <w:tab w:val="left" w:pos="180"/>
          <w:tab w:val="left" w:pos="360"/>
        </w:tabs>
        <w:spacing w:line="276" w:lineRule="auto"/>
        <w:ind w:left="420" w:leftChars="200" w:firstLine="0" w:firstLineChars="0"/>
        <w:rPr>
          <w:b/>
          <w:color w:val="000000"/>
          <w:sz w:val="44"/>
        </w:rPr>
      </w:pPr>
    </w:p>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57"/>
        <w:tabs>
          <w:tab w:val="left" w:pos="0"/>
          <w:tab w:val="left" w:pos="180"/>
          <w:tab w:val="left" w:pos="360"/>
        </w:tabs>
        <w:spacing w:line="276" w:lineRule="auto"/>
        <w:ind w:firstLine="0" w:firstLineChars="0"/>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2AB4195F"/>
    <w:multiLevelType w:val="singleLevel"/>
    <w:tmpl w:val="2AB4195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0E25"/>
    <w:rsid w:val="000E7F76"/>
    <w:rsid w:val="001175D0"/>
    <w:rsid w:val="001554D8"/>
    <w:rsid w:val="001E414B"/>
    <w:rsid w:val="001E49E8"/>
    <w:rsid w:val="001F7280"/>
    <w:rsid w:val="002A7360"/>
    <w:rsid w:val="002C4C18"/>
    <w:rsid w:val="0031516A"/>
    <w:rsid w:val="00323277"/>
    <w:rsid w:val="0036563D"/>
    <w:rsid w:val="003879D1"/>
    <w:rsid w:val="003A4C70"/>
    <w:rsid w:val="003C0C18"/>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A5AC8"/>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BE4D5B"/>
    <w:rsid w:val="00C53DB9"/>
    <w:rsid w:val="00C61B22"/>
    <w:rsid w:val="00CD1284"/>
    <w:rsid w:val="00DA7A6E"/>
    <w:rsid w:val="00E003D2"/>
    <w:rsid w:val="00E177D8"/>
    <w:rsid w:val="00E43306"/>
    <w:rsid w:val="00E7382A"/>
    <w:rsid w:val="00EB5E8C"/>
    <w:rsid w:val="00F041DA"/>
    <w:rsid w:val="00FC3827"/>
    <w:rsid w:val="0255489B"/>
    <w:rsid w:val="03675EC4"/>
    <w:rsid w:val="05C55124"/>
    <w:rsid w:val="08BF7794"/>
    <w:rsid w:val="09D27438"/>
    <w:rsid w:val="10AF5838"/>
    <w:rsid w:val="155013FC"/>
    <w:rsid w:val="194417AD"/>
    <w:rsid w:val="1C790F1A"/>
    <w:rsid w:val="1D4B2E52"/>
    <w:rsid w:val="242F1D98"/>
    <w:rsid w:val="27AE3812"/>
    <w:rsid w:val="28BE1547"/>
    <w:rsid w:val="2B050BB5"/>
    <w:rsid w:val="31D36E66"/>
    <w:rsid w:val="324A3037"/>
    <w:rsid w:val="345E47ED"/>
    <w:rsid w:val="365A3F75"/>
    <w:rsid w:val="3F7B74E9"/>
    <w:rsid w:val="48A759E8"/>
    <w:rsid w:val="4B2500E2"/>
    <w:rsid w:val="4FC3587F"/>
    <w:rsid w:val="530807FB"/>
    <w:rsid w:val="53EA2558"/>
    <w:rsid w:val="616C351D"/>
    <w:rsid w:val="68CE77A7"/>
    <w:rsid w:val="6A6842B9"/>
    <w:rsid w:val="72EB0EF9"/>
    <w:rsid w:val="737B47B8"/>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rFonts w:cs="Times New Roman"/>
      <w:sz w:val="20"/>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qFormat/>
    <w:locked/>
    <w:uiPriority w:val="99"/>
    <w:rPr>
      <w:rFonts w:cs="Times New Roman"/>
      <w:kern w:val="2"/>
      <w:sz w:val="18"/>
    </w:rPr>
  </w:style>
  <w:style w:type="character" w:customStyle="1" w:styleId="77">
    <w:name w:val="Header Char"/>
    <w:basedOn w:val="49"/>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cs="Times New Roman"/>
      <w:b/>
      <w:sz w:val="20"/>
    </w:rPr>
  </w:style>
  <w:style w:type="character" w:customStyle="1" w:styleId="84">
    <w:name w:val="正文首行缩进 Char"/>
    <w:basedOn w:val="71"/>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11"/>
    <w:basedOn w:val="49"/>
    <w:uiPriority w:val="0"/>
    <w:rPr>
      <w:rFonts w:hint="eastAsia" w:ascii="宋体" w:hAnsi="宋体" w:eastAsia="宋体" w:cs="宋体"/>
      <w:color w:val="000000"/>
      <w:sz w:val="18"/>
      <w:szCs w:val="18"/>
      <w:u w:val="none"/>
    </w:rPr>
  </w:style>
  <w:style w:type="character" w:customStyle="1" w:styleId="298">
    <w:name w:val="font31"/>
    <w:basedOn w:val="49"/>
    <w:uiPriority w:val="0"/>
    <w:rPr>
      <w:rFonts w:hint="default" w:ascii="Times New Roman" w:hAnsi="Times New Roman" w:cs="Times New Roman"/>
      <w:color w:val="000000"/>
      <w:sz w:val="24"/>
      <w:szCs w:val="24"/>
      <w:u w:val="none"/>
    </w:rPr>
  </w:style>
  <w:style w:type="character" w:customStyle="1" w:styleId="299">
    <w:name w:val="font01"/>
    <w:basedOn w:val="49"/>
    <w:uiPriority w:val="0"/>
    <w:rPr>
      <w:rFonts w:hint="eastAsia" w:ascii="宋体" w:hAnsi="宋体" w:eastAsia="宋体" w:cs="宋体"/>
      <w:color w:val="000000"/>
      <w:sz w:val="24"/>
      <w:szCs w:val="24"/>
      <w:u w:val="none"/>
    </w:rPr>
  </w:style>
  <w:style w:type="character" w:customStyle="1" w:styleId="300">
    <w:name w:val="font21"/>
    <w:basedOn w:val="49"/>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2141</Words>
  <Characters>2341</Characters>
  <Lines>19</Lines>
  <Paragraphs>5</Paragraphs>
  <TotalTime>1</TotalTime>
  <ScaleCrop>false</ScaleCrop>
  <LinksUpToDate>false</LinksUpToDate>
  <CharactersWithSpaces>2422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2023-04-25T02:02:10Z</dcterms:modified>
  <dc:title>工 程 施 工 招 标 文 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