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FZXiaoBiaoSong-B05S" w:hAnsi="FZXiaoBiaoSong-B05S" w:eastAsia="FZXiaoBiaoSong-B05S" w:cs="FZXiaoBiaoSong-B05S"/>
          <w:sz w:val="44"/>
          <w:szCs w:val="44"/>
          <w:lang w:val="en-US" w:eastAsia="zh-CN"/>
        </w:rPr>
      </w:pPr>
      <w:r>
        <w:rPr>
          <w:rFonts w:hint="eastAsia" w:ascii="FZXiaoBiaoSong-B05S" w:hAnsi="FZXiaoBiaoSong-B05S" w:eastAsia="FZXiaoBiaoSong-B05S" w:cs="FZXiaoBiaoSong-B05S"/>
          <w:sz w:val="44"/>
          <w:szCs w:val="44"/>
          <w:lang w:val="en-US" w:eastAsia="zh-CN"/>
        </w:rPr>
        <w:t>中共</w:t>
      </w:r>
      <w:r>
        <w:rPr>
          <w:rFonts w:hint="eastAsia" w:ascii="FZXiaoBiaoSong-B05S" w:hAnsi="FZXiaoBiaoSong-B05S" w:eastAsia="FZXiaoBiaoSong-B05S" w:cs="FZXiaoBiaoSong-B05S"/>
          <w:sz w:val="44"/>
          <w:szCs w:val="44"/>
          <w:lang w:eastAsia="zh-CN"/>
        </w:rPr>
        <w:t>聊城</w:t>
      </w:r>
      <w:r>
        <w:rPr>
          <w:rFonts w:hint="eastAsia" w:ascii="FZXiaoBiaoSong-B05S" w:hAnsi="FZXiaoBiaoSong-B05S" w:eastAsia="FZXiaoBiaoSong-B05S" w:cs="FZXiaoBiaoSong-B05S"/>
          <w:sz w:val="44"/>
          <w:szCs w:val="44"/>
          <w:lang w:val="en-US" w:eastAsia="zh-CN"/>
        </w:rPr>
        <w:t>市技师</w:t>
      </w:r>
      <w:r>
        <w:rPr>
          <w:rFonts w:hint="eastAsia" w:ascii="FZXiaoBiaoSong-B05S" w:hAnsi="FZXiaoBiaoSong-B05S" w:eastAsia="FZXiaoBiaoSong-B05S" w:cs="FZXiaoBiaoSong-B05S"/>
          <w:sz w:val="44"/>
          <w:szCs w:val="44"/>
          <w:lang w:eastAsia="zh-CN"/>
        </w:rPr>
        <w:t>学院</w:t>
      </w:r>
      <w:r>
        <w:rPr>
          <w:rFonts w:hint="eastAsia" w:ascii="FZXiaoBiaoSong-B05S" w:hAnsi="FZXiaoBiaoSong-B05S" w:eastAsia="FZXiaoBiaoSong-B05S" w:cs="FZXiaoBiaoSong-B05S"/>
          <w:sz w:val="44"/>
          <w:szCs w:val="44"/>
          <w:lang w:val="en-US" w:eastAsia="zh-CN"/>
        </w:rPr>
        <w:t>委员会</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FZXiaoBiaoSong-B05S" w:hAnsi="FZXiaoBiaoSong-B05S" w:eastAsia="FZXiaoBiaoSong-B05S" w:cs="FZXiaoBiaoSong-B05S"/>
          <w:sz w:val="44"/>
          <w:szCs w:val="44"/>
          <w:lang w:eastAsia="zh-CN"/>
        </w:rPr>
      </w:pPr>
      <w:r>
        <w:rPr>
          <w:rFonts w:hint="eastAsia" w:ascii="FZXiaoBiaoSong-B05S" w:hAnsi="FZXiaoBiaoSong-B05S" w:eastAsia="FZXiaoBiaoSong-B05S" w:cs="FZXiaoBiaoSong-B05S"/>
          <w:sz w:val="44"/>
          <w:szCs w:val="44"/>
          <w:lang w:val="en-US" w:eastAsia="zh-CN"/>
        </w:rPr>
        <w:t>学习贯彻党的十九届四中全会精神</w:t>
      </w:r>
      <w:r>
        <w:rPr>
          <w:rFonts w:hint="eastAsia" w:ascii="FZXiaoBiaoSong-B05S" w:hAnsi="FZXiaoBiaoSong-B05S" w:eastAsia="FZXiaoBiaoSong-B05S" w:cs="FZXiaoBiaoSong-B05S"/>
          <w:sz w:val="44"/>
          <w:szCs w:val="44"/>
          <w:lang w:eastAsia="zh-CN"/>
        </w:rPr>
        <w:t>方案</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Times New Roman" w:hAnsi="Times New Roman" w:eastAsia="FangSong_GB2312" w:cs="Times New Roman"/>
          <w:sz w:val="32"/>
          <w:szCs w:val="32"/>
          <w:lang w:eastAsia="zh-CN"/>
        </w:rPr>
      </w:pPr>
    </w:p>
    <w:p>
      <w:pPr>
        <w:keepNext w:val="0"/>
        <w:keepLines w:val="0"/>
        <w:widowControl/>
        <w:suppressLineNumbers w:val="0"/>
        <w:ind w:firstLine="640" w:firstLineChars="200"/>
        <w:jc w:val="left"/>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根据《</w:t>
      </w:r>
      <w:r>
        <w:rPr>
          <w:rFonts w:hint="eastAsia" w:ascii="FangSong_GB2312" w:hAnsi="FangSong_GB2312" w:eastAsia="FangSong_GB2312" w:cs="FangSong_GB2312"/>
          <w:sz w:val="32"/>
          <w:szCs w:val="32"/>
          <w:lang w:val="en-US" w:eastAsia="zh-CN"/>
        </w:rPr>
        <w:t xml:space="preserve">关于在“不忘初心、牢记使命” 主题教育中认真学习贯彻党的十九届四中全会精神的通知 </w:t>
      </w:r>
      <w:r>
        <w:rPr>
          <w:rFonts w:hint="eastAsia" w:ascii="FangSong_GB2312" w:hAnsi="FangSong_GB2312" w:eastAsia="FangSong_GB2312" w:cs="FangSong_GB2312"/>
          <w:sz w:val="32"/>
          <w:szCs w:val="32"/>
          <w:lang w:eastAsia="zh-CN"/>
        </w:rPr>
        <w:t>》（</w:t>
      </w:r>
      <w:r>
        <w:rPr>
          <w:rFonts w:ascii="FangSong_GB2312" w:hAnsi="宋体" w:eastAsia="FangSong_GB2312" w:cs="FangSong_GB2312"/>
          <w:color w:val="000000"/>
          <w:kern w:val="0"/>
          <w:sz w:val="31"/>
          <w:szCs w:val="31"/>
          <w:lang w:val="en-US" w:eastAsia="zh-CN" w:bidi="ar"/>
        </w:rPr>
        <w:t>聊教办发〔</w:t>
      </w:r>
      <w:r>
        <w:rPr>
          <w:rFonts w:ascii="TimesNewRomanPSMT" w:hAnsi="TimesNewRomanPSMT" w:eastAsia="TimesNewRomanPSMT" w:cs="TimesNewRomanPSMT"/>
          <w:color w:val="000000"/>
          <w:kern w:val="0"/>
          <w:sz w:val="31"/>
          <w:szCs w:val="31"/>
          <w:lang w:val="en-US" w:eastAsia="zh-CN" w:bidi="ar"/>
        </w:rPr>
        <w:t>2019</w:t>
      </w:r>
      <w:r>
        <w:rPr>
          <w:rFonts w:hint="eastAsia" w:ascii="FangSong_GB2312" w:hAnsi="宋体" w:eastAsia="FangSong_GB2312" w:cs="FangSong_GB2312"/>
          <w:color w:val="000000"/>
          <w:kern w:val="0"/>
          <w:sz w:val="31"/>
          <w:szCs w:val="31"/>
          <w:lang w:val="en-US" w:eastAsia="zh-CN" w:bidi="ar"/>
        </w:rPr>
        <w:t>〕</w:t>
      </w:r>
      <w:r>
        <w:rPr>
          <w:rFonts w:hint="default" w:ascii="TimesNewRomanPSMT" w:hAnsi="TimesNewRomanPSMT" w:eastAsia="TimesNewRomanPSMT" w:cs="TimesNewRomanPSMT"/>
          <w:color w:val="000000"/>
          <w:kern w:val="0"/>
          <w:sz w:val="31"/>
          <w:szCs w:val="31"/>
          <w:lang w:val="en-US" w:eastAsia="zh-CN" w:bidi="ar"/>
        </w:rPr>
        <w:t xml:space="preserve">10 </w:t>
      </w:r>
      <w:r>
        <w:rPr>
          <w:rFonts w:hint="eastAsia" w:ascii="FangSong_GB2312" w:hAnsi="宋体" w:eastAsia="FangSong_GB2312" w:cs="FangSong_GB2312"/>
          <w:color w:val="000000"/>
          <w:kern w:val="0"/>
          <w:sz w:val="31"/>
          <w:szCs w:val="31"/>
          <w:lang w:val="en-US" w:eastAsia="zh-CN" w:bidi="ar"/>
        </w:rPr>
        <w:t>号）</w:t>
      </w:r>
      <w:r>
        <w:rPr>
          <w:rFonts w:hint="eastAsia" w:ascii="FangSong_GB2312" w:hAnsi="FangSong_GB2312" w:eastAsia="FangSong_GB2312" w:cs="FangSong_GB2312"/>
          <w:sz w:val="32"/>
          <w:szCs w:val="32"/>
          <w:lang w:eastAsia="zh-CN"/>
        </w:rPr>
        <w:t>文件精神，结合市委第十六巡回指导组要求，现制定如下方案。</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firstLine="640" w:firstLineChars="200"/>
        <w:textAlignment w:val="auto"/>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学习研讨计划</w:t>
      </w:r>
    </w:p>
    <w:tbl>
      <w:tblPr>
        <w:tblStyle w:val="3"/>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694"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SimHei" w:hAnsi="SimHei" w:eastAsia="SimHei" w:cs="SimHei"/>
                <w:sz w:val="32"/>
                <w:szCs w:val="32"/>
                <w:vertAlign w:val="baseline"/>
                <w:lang w:val="en-US" w:eastAsia="zh-CN"/>
              </w:rPr>
            </w:pPr>
            <w:r>
              <w:rPr>
                <w:rFonts w:hint="eastAsia" w:ascii="SimHei" w:hAnsi="SimHei" w:eastAsia="SimHei" w:cs="SimHei"/>
                <w:sz w:val="32"/>
                <w:szCs w:val="32"/>
                <w:vertAlign w:val="baseline"/>
                <w:lang w:val="en-US" w:eastAsia="zh-CN"/>
              </w:rPr>
              <w:t>时间</w:t>
            </w:r>
          </w:p>
        </w:tc>
        <w:tc>
          <w:tcPr>
            <w:tcW w:w="6800" w:type="dxa"/>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2240" w:firstLineChars="700"/>
              <w:textAlignment w:val="auto"/>
              <w:rPr>
                <w:rFonts w:hint="default" w:ascii="SimHei" w:hAnsi="SimHei" w:eastAsia="SimHei" w:cs="SimHei"/>
                <w:sz w:val="32"/>
                <w:szCs w:val="32"/>
                <w:vertAlign w:val="baseline"/>
                <w:lang w:val="en-US" w:eastAsia="zh-CN"/>
              </w:rPr>
            </w:pPr>
            <w:r>
              <w:rPr>
                <w:rFonts w:hint="eastAsia" w:ascii="SimHei" w:hAnsi="SimHei" w:eastAsia="SimHei" w:cs="SimHei"/>
                <w:sz w:val="32"/>
                <w:szCs w:val="32"/>
                <w:vertAlign w:val="baseline"/>
                <w:lang w:val="en-US" w:eastAsia="zh-CN"/>
              </w:rPr>
              <w:t>学习研讨内容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1694"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SimHei" w:hAnsi="SimHei" w:eastAsia="SimHei" w:cs="SimHei"/>
                <w:sz w:val="32"/>
                <w:szCs w:val="32"/>
                <w:vertAlign w:val="baseline"/>
                <w:lang w:val="en-US" w:eastAsia="zh-CN"/>
              </w:rPr>
            </w:pPr>
            <w:r>
              <w:rPr>
                <w:rFonts w:hint="eastAsia" w:ascii="SimHei" w:hAnsi="SimHei" w:eastAsia="SimHei" w:cs="SimHei"/>
                <w:sz w:val="32"/>
                <w:szCs w:val="32"/>
                <w:vertAlign w:val="baseline"/>
                <w:lang w:val="en-US" w:eastAsia="zh-CN"/>
              </w:rPr>
              <w:t>11.22</w:t>
            </w:r>
          </w:p>
        </w:tc>
        <w:tc>
          <w:tcPr>
            <w:tcW w:w="6800" w:type="dxa"/>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textAlignment w:val="auto"/>
              <w:rPr>
                <w:rFonts w:hint="eastAsia" w:ascii="FangSong_GB2312" w:hAnsi="FangSong_GB2312" w:eastAsia="FangSong_GB2312" w:cs="FangSong_GB2312"/>
                <w:sz w:val="32"/>
                <w:szCs w:val="32"/>
                <w:lang w:val="en-US" w:eastAsia="zh-CN"/>
              </w:rPr>
            </w:pPr>
            <w:r>
              <w:rPr>
                <w:rFonts w:hint="default" w:ascii="Calibri" w:hAnsi="Calibri" w:eastAsia="FangSong_GB2312" w:cs="Calibri"/>
                <w:sz w:val="32"/>
                <w:szCs w:val="32"/>
                <w:lang w:val="en-US" w:eastAsia="zh-CN"/>
              </w:rPr>
              <w:t>①</w:t>
            </w:r>
            <w:r>
              <w:rPr>
                <w:rFonts w:hint="eastAsia" w:ascii="FangSong_GB2312" w:hAnsi="FangSong_GB2312" w:eastAsia="FangSong_GB2312" w:cs="FangSong_GB2312"/>
                <w:sz w:val="32"/>
                <w:szCs w:val="32"/>
                <w:lang w:val="en-US" w:eastAsia="zh-CN"/>
              </w:rPr>
              <w:t>《中共中央关于坚持和完善中国特色社会主义制度、推进国家治理体系和治理能力现代化若干重大问题的决定》</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textAlignment w:val="auto"/>
              <w:rPr>
                <w:rFonts w:hint="default" w:ascii="SimHei" w:hAnsi="SimHei" w:eastAsia="SimHei" w:cs="SimHei"/>
                <w:sz w:val="32"/>
                <w:szCs w:val="32"/>
                <w:vertAlign w:val="baseline"/>
                <w:lang w:val="en-US" w:eastAsia="zh-CN"/>
              </w:rPr>
            </w:pPr>
            <w:r>
              <w:rPr>
                <w:rFonts w:hint="default" w:ascii="Calibri" w:hAnsi="Calibri" w:eastAsia="FangSong_GB2312" w:cs="Calibri"/>
                <w:sz w:val="32"/>
                <w:szCs w:val="32"/>
                <w:lang w:val="en-US" w:eastAsia="zh-CN"/>
              </w:rPr>
              <w:t>②</w:t>
            </w:r>
            <w:r>
              <w:rPr>
                <w:rFonts w:hint="eastAsia" w:ascii="FangSong_GB2312" w:hAnsi="FangSong_GB2312" w:eastAsia="FangSong_GB2312" w:cs="FangSong_GB2312"/>
                <w:sz w:val="32"/>
                <w:szCs w:val="32"/>
                <w:lang w:val="en-US" w:eastAsia="zh-CN"/>
              </w:rPr>
              <w:t>关于《中共中央关于坚持和完善中国特色社会主义制度、推进国家治理体系和治理能力现代化若干重大问题的决定》的说明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1694"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SimHei" w:hAnsi="SimHei" w:eastAsia="SimHei" w:cs="SimHei"/>
                <w:sz w:val="32"/>
                <w:szCs w:val="32"/>
                <w:vertAlign w:val="baseline"/>
                <w:lang w:val="en-US" w:eastAsia="zh-CN"/>
              </w:rPr>
            </w:pPr>
            <w:r>
              <w:rPr>
                <w:rFonts w:hint="eastAsia" w:ascii="SimHei" w:hAnsi="SimHei" w:eastAsia="SimHei" w:cs="SimHei"/>
                <w:sz w:val="32"/>
                <w:szCs w:val="32"/>
                <w:vertAlign w:val="baseline"/>
                <w:lang w:val="en-US" w:eastAsia="zh-CN"/>
              </w:rPr>
              <w:t>11.26</w:t>
            </w:r>
          </w:p>
        </w:tc>
        <w:tc>
          <w:tcPr>
            <w:tcW w:w="6800" w:type="dxa"/>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textAlignment w:val="auto"/>
              <w:rPr>
                <w:rFonts w:hint="default" w:ascii="SimHei" w:hAnsi="SimHei" w:eastAsia="SimHei" w:cs="SimHei"/>
                <w:sz w:val="32"/>
                <w:szCs w:val="32"/>
                <w:vertAlign w:val="baseline"/>
                <w:lang w:val="en-US" w:eastAsia="zh-CN"/>
              </w:rPr>
            </w:pPr>
            <w:r>
              <w:rPr>
                <w:rFonts w:hint="eastAsia" w:ascii="FangSong_GB2312" w:hAnsi="FangSong_GB2312" w:eastAsia="FangSong_GB2312" w:cs="FangSong_GB2312"/>
                <w:sz w:val="32"/>
                <w:szCs w:val="32"/>
                <w:lang w:val="en-US" w:eastAsia="zh-CN"/>
              </w:rPr>
              <w:t>加强党对坚持和完善中国特色社会主义制度、推进国家治理体系和治理能力现代化的领导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1694"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SimHei" w:hAnsi="SimHei" w:eastAsia="SimHei" w:cs="SimHei"/>
                <w:sz w:val="32"/>
                <w:szCs w:val="32"/>
                <w:vertAlign w:val="baseline"/>
                <w:lang w:val="en-US" w:eastAsia="zh-CN"/>
              </w:rPr>
            </w:pPr>
            <w:r>
              <w:rPr>
                <w:rFonts w:hint="eastAsia" w:ascii="SimHei" w:hAnsi="SimHei" w:eastAsia="SimHei" w:cs="SimHei"/>
                <w:sz w:val="32"/>
                <w:szCs w:val="32"/>
                <w:vertAlign w:val="baseline"/>
                <w:lang w:val="en-US" w:eastAsia="zh-CN"/>
              </w:rPr>
              <w:t>11.29</w:t>
            </w:r>
          </w:p>
        </w:tc>
        <w:tc>
          <w:tcPr>
            <w:tcW w:w="6800" w:type="dxa"/>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textAlignment w:val="auto"/>
              <w:rPr>
                <w:rFonts w:hint="eastAsia" w:eastAsia="FangSong_GB2312" w:cs="Calibri"/>
                <w:sz w:val="32"/>
                <w:szCs w:val="32"/>
                <w:lang w:val="en-US" w:eastAsia="zh-CN"/>
              </w:rPr>
            </w:pPr>
            <w:r>
              <w:rPr>
                <w:rFonts w:hint="default" w:ascii="Calibri" w:hAnsi="Calibri" w:eastAsia="FangSong_GB2312" w:cs="Calibri"/>
                <w:sz w:val="32"/>
                <w:szCs w:val="32"/>
                <w:lang w:val="en-US" w:eastAsia="zh-CN"/>
              </w:rPr>
              <w:t>①</w:t>
            </w:r>
            <w:r>
              <w:rPr>
                <w:rFonts w:hint="eastAsia" w:eastAsia="FangSong_GB2312" w:cs="Calibri"/>
                <w:sz w:val="32"/>
                <w:szCs w:val="32"/>
                <w:lang w:val="en-US" w:eastAsia="zh-CN"/>
              </w:rPr>
              <w:t>完善坚定维护党中央权威和集中统一领导的各项制度</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textAlignment w:val="auto"/>
              <w:rPr>
                <w:rFonts w:hint="eastAsia" w:eastAsia="FangSong_GB2312" w:cs="Calibri"/>
                <w:sz w:val="32"/>
                <w:szCs w:val="32"/>
                <w:lang w:val="en-US" w:eastAsia="zh-CN"/>
              </w:rPr>
            </w:pPr>
            <w:r>
              <w:rPr>
                <w:rFonts w:hint="default" w:ascii="Calibri" w:hAnsi="Calibri" w:eastAsia="FangSong_GB2312" w:cs="Calibri"/>
                <w:sz w:val="32"/>
                <w:szCs w:val="32"/>
                <w:lang w:val="en-US" w:eastAsia="zh-CN"/>
              </w:rPr>
              <w:t>②</w:t>
            </w:r>
            <w:r>
              <w:rPr>
                <w:rFonts w:hint="eastAsia" w:eastAsia="FangSong_GB2312" w:cs="Calibri"/>
                <w:sz w:val="32"/>
                <w:szCs w:val="32"/>
                <w:lang w:val="en-US" w:eastAsia="zh-CN"/>
              </w:rPr>
              <w:t>坚持和完善人民代表大会制度这一根本政治制度</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textAlignment w:val="auto"/>
              <w:rPr>
                <w:rFonts w:hint="default" w:ascii="FangSong_GB2312" w:hAnsi="FangSong_GB2312" w:eastAsia="FangSong_GB2312" w:cs="FangSong_GB2312"/>
                <w:sz w:val="32"/>
                <w:szCs w:val="32"/>
                <w:lang w:val="en-US" w:eastAsia="zh-CN"/>
              </w:rPr>
            </w:pPr>
            <w:r>
              <w:rPr>
                <w:rFonts w:hint="default" w:ascii="Calibri" w:hAnsi="Calibri" w:eastAsia="FangSong_GB2312" w:cs="Calibri"/>
                <w:sz w:val="32"/>
                <w:szCs w:val="32"/>
                <w:lang w:val="en-US" w:eastAsia="zh-CN"/>
              </w:rPr>
              <w:t>③</w:t>
            </w:r>
            <w:r>
              <w:rPr>
                <w:rFonts w:hint="eastAsia" w:eastAsia="FangSong_GB2312" w:cs="Calibri"/>
                <w:sz w:val="32"/>
                <w:szCs w:val="32"/>
                <w:lang w:val="en-US" w:eastAsia="zh-CN"/>
              </w:rPr>
              <w:t>坚持和完善社会主义基本经济制度</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textAlignment w:val="auto"/>
        <w:rPr>
          <w:rFonts w:hint="default" w:ascii="SimHei" w:hAnsi="SimHei" w:eastAsia="SimHei" w:cs="SimHei"/>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SimHei" w:hAnsi="SimHei" w:eastAsia="SimHei" w:cs="SimHei"/>
          <w:sz w:val="32"/>
          <w:szCs w:val="32"/>
          <w:lang w:eastAsia="zh-CN"/>
        </w:rPr>
      </w:pPr>
      <w:r>
        <w:rPr>
          <w:rFonts w:hint="eastAsia" w:ascii="SimHei" w:hAnsi="SimHei" w:eastAsia="SimHei" w:cs="SimHei"/>
          <w:sz w:val="32"/>
          <w:szCs w:val="32"/>
          <w:lang w:eastAsia="zh-CN"/>
        </w:rPr>
        <w:t>二、</w:t>
      </w:r>
      <w:r>
        <w:rPr>
          <w:rFonts w:hint="eastAsia" w:ascii="SimHei" w:hAnsi="SimHei" w:eastAsia="SimHei" w:cs="SimHei"/>
          <w:sz w:val="32"/>
          <w:szCs w:val="32"/>
          <w:lang w:val="en-US" w:eastAsia="zh-CN"/>
        </w:rPr>
        <w:t>学习</w:t>
      </w:r>
      <w:r>
        <w:rPr>
          <w:rFonts w:hint="eastAsia" w:ascii="SimHei" w:hAnsi="SimHei" w:eastAsia="SimHei" w:cs="SimHei"/>
          <w:sz w:val="32"/>
          <w:szCs w:val="32"/>
          <w:lang w:eastAsia="zh-CN"/>
        </w:rPr>
        <w:t>要求</w:t>
      </w:r>
    </w:p>
    <w:p>
      <w:pPr>
        <w:keepNext w:val="0"/>
        <w:keepLines w:val="0"/>
        <w:widowControl/>
        <w:suppressLineNumbers w:val="0"/>
        <w:ind w:firstLine="640" w:firstLineChars="200"/>
        <w:jc w:val="left"/>
        <w:rPr>
          <w:rFonts w:hint="eastAsia" w:ascii="FangSong_GB2312" w:hAnsi="FangSong_GB2312" w:eastAsia="FangSong_GB2312" w:cs="FangSong_GB2312"/>
          <w:sz w:val="32"/>
          <w:szCs w:val="32"/>
          <w:lang w:val="en-US" w:eastAsia="zh-CN"/>
        </w:rPr>
      </w:pPr>
      <w:r>
        <w:rPr>
          <w:rFonts w:hint="eastAsia" w:ascii="KaiTi_GB2312" w:hAnsi="KaiTi_GB2312" w:eastAsia="KaiTi_GB2312" w:cs="KaiTi_GB2312"/>
          <w:sz w:val="32"/>
          <w:szCs w:val="32"/>
          <w:lang w:val="en-US" w:eastAsia="zh-CN"/>
        </w:rPr>
        <w:t>1.</w:t>
      </w:r>
      <w:r>
        <w:rPr>
          <w:rFonts w:ascii="KaiTi_GB2312" w:hAnsi="KaiTi_GB2312" w:eastAsia="KaiTi_GB2312" w:cs="KaiTi_GB2312"/>
          <w:color w:val="000000"/>
          <w:kern w:val="0"/>
          <w:sz w:val="31"/>
          <w:szCs w:val="31"/>
          <w:lang w:val="en-US" w:eastAsia="zh-CN" w:bidi="ar"/>
        </w:rPr>
        <w:t>在学习教育方面，</w:t>
      </w:r>
      <w:r>
        <w:rPr>
          <w:rFonts w:hint="eastAsia" w:ascii="KaiTi_GB2312" w:hAnsi="KaiTi_GB2312" w:eastAsia="KaiTi_GB2312" w:cs="KaiTi_GB2312"/>
          <w:color w:val="000000"/>
          <w:kern w:val="0"/>
          <w:sz w:val="31"/>
          <w:szCs w:val="31"/>
          <w:lang w:val="en-US" w:eastAsia="zh-CN" w:bidi="ar"/>
        </w:rPr>
        <w:t>学院领导班子成员要带头进行集中学习和自学，并进行1次专题研讨；各党支部也要进行集中学习，各单位中层干部要进行专题研讨，要</w:t>
      </w:r>
      <w:r>
        <w:rPr>
          <w:rFonts w:hint="eastAsia" w:ascii="FangSong_GB2312" w:hAnsi="FangSong_GB2312" w:eastAsia="FangSong_GB2312" w:cs="FangSong_GB2312"/>
          <w:sz w:val="32"/>
          <w:szCs w:val="32"/>
          <w:lang w:val="en-US" w:eastAsia="zh-CN"/>
        </w:rPr>
        <w:t>把学习全会精神与通读《习近平关于 “不忘初心、牢记使命”重要论述选编》《习近平关于“不忘初心、牢记使命”论述摘编》等结合起来，充分利用学习资料《党的十九届四中全会</w:t>
      </w:r>
      <w:r>
        <w:rPr>
          <w:rFonts w:hint="default" w:ascii="FangSong_GB2312" w:hAnsi="FangSong_GB2312" w:eastAsia="FangSong_GB2312" w:cs="FangSong_GB2312"/>
          <w:sz w:val="32"/>
          <w:szCs w:val="32"/>
          <w:lang w:val="en-US" w:eastAsia="zh-CN"/>
        </w:rPr>
        <w:t>&lt;</w:t>
      </w:r>
      <w:r>
        <w:rPr>
          <w:rFonts w:hint="eastAsia" w:ascii="FangSong_GB2312" w:hAnsi="FangSong_GB2312" w:eastAsia="FangSong_GB2312" w:cs="FangSong_GB2312"/>
          <w:sz w:val="32"/>
          <w:szCs w:val="32"/>
          <w:lang w:val="en-US" w:eastAsia="zh-CN"/>
        </w:rPr>
        <w:t>决定</w:t>
      </w:r>
      <w:r>
        <w:rPr>
          <w:rFonts w:hint="default" w:ascii="FangSong_GB2312" w:hAnsi="FangSong_GB2312" w:eastAsia="FangSong_GB2312" w:cs="FangSong_GB2312"/>
          <w:sz w:val="32"/>
          <w:szCs w:val="32"/>
          <w:lang w:val="en-US" w:eastAsia="zh-CN"/>
        </w:rPr>
        <w:t>&gt;</w:t>
      </w:r>
      <w:r>
        <w:rPr>
          <w:rFonts w:hint="eastAsia" w:ascii="FangSong_GB2312" w:hAnsi="FangSong_GB2312" w:eastAsia="FangSong_GB2312" w:cs="FangSong_GB2312"/>
          <w:sz w:val="32"/>
          <w:szCs w:val="32"/>
          <w:lang w:val="en-US" w:eastAsia="zh-CN"/>
        </w:rPr>
        <w:t>学习辅导百问》，通过“三会一课”、主题党日活动等形式进行专题学习交流，党支部书记要向所在支部党员报告个人学习体会。各单位要运用“灯塔—党建在线”、学习强国等平台，积极组织开展各具特色的学习活动。切实把学习成果转化为增强“四个意识”、坚定“四个自信”、做到“两个维护” 的政治自觉，转化为践行初心使命的不竭动力，转化为建功新时代、争创新业绩的实际行动。</w:t>
      </w:r>
    </w:p>
    <w:p>
      <w:pPr>
        <w:keepNext w:val="0"/>
        <w:keepLines w:val="0"/>
        <w:widowControl/>
        <w:suppressLineNumbers w:val="0"/>
        <w:ind w:firstLine="620" w:firstLineChars="200"/>
        <w:jc w:val="left"/>
      </w:pPr>
      <w:r>
        <w:rPr>
          <w:rFonts w:hint="eastAsia" w:ascii="KaiTi_GB2312" w:hAnsi="KaiTi_GB2312" w:eastAsia="KaiTi_GB2312" w:cs="KaiTi_GB2312"/>
          <w:color w:val="000000"/>
          <w:kern w:val="0"/>
          <w:sz w:val="31"/>
          <w:szCs w:val="31"/>
          <w:lang w:val="en-US" w:eastAsia="zh-CN" w:bidi="ar"/>
        </w:rPr>
        <w:t>2、</w:t>
      </w:r>
      <w:r>
        <w:rPr>
          <w:rFonts w:ascii="KaiTi_GB2312" w:hAnsi="KaiTi_GB2312" w:eastAsia="KaiTi_GB2312" w:cs="KaiTi_GB2312"/>
          <w:color w:val="000000"/>
          <w:kern w:val="0"/>
          <w:sz w:val="31"/>
          <w:szCs w:val="31"/>
          <w:lang w:val="en-US" w:eastAsia="zh-CN" w:bidi="ar"/>
        </w:rPr>
        <w:t>在检视整改方面，</w:t>
      </w:r>
      <w:r>
        <w:rPr>
          <w:rFonts w:ascii="FangSong_GB2312" w:hAnsi="宋体" w:eastAsia="FangSong_GB2312" w:cs="FangSong_GB2312"/>
          <w:color w:val="000000"/>
          <w:kern w:val="0"/>
          <w:sz w:val="31"/>
          <w:szCs w:val="31"/>
          <w:lang w:val="en-US" w:eastAsia="zh-CN" w:bidi="ar"/>
        </w:rPr>
        <w:t>要联系在坚持和完善中国特色社会主义</w:t>
      </w:r>
      <w:r>
        <w:rPr>
          <w:rFonts w:hint="eastAsia" w:ascii="FangSong_GB2312" w:hAnsi="宋体" w:eastAsia="FangSong_GB2312" w:cs="FangSong_GB2312"/>
          <w:color w:val="000000"/>
          <w:kern w:val="0"/>
          <w:sz w:val="31"/>
          <w:szCs w:val="31"/>
          <w:lang w:val="en-US" w:eastAsia="zh-CN" w:bidi="ar"/>
        </w:rPr>
        <w:t>制度、推进国家治理体系和治理能力现代化方面存在的问题， 联系专项整治任务取得的成果、发现的问题，联系“初心十问”， 联系党员特别是党员干部的思想和工作实际，在专题民主生活会或专题组织生活会上认真对照检查，开展批评和自我批评； 在领导班子对照检查材料中认真进行梳理，深入分析原因特别是思想根源、制度缺项、能力不足；在制定整改落实措施和方案上要力求务实管用，把整改、解决在坚持和完善中国特色社会主义制度、推进国家治理体系和治理能力现代化方面特别是基层治理方面存在的突出问题作为重要内容，要把贯彻落实省委制度创新、流程再造的决策部署结合起来，与学院的实际结合起来，明确整改时限、目标、措施、责任和要求，并向群众作出承诺，接受群众监督，推动学院各项事业在制度的轨道上实现高质量发展。</w:t>
      </w:r>
      <w:bookmarkStart w:id="0" w:name="_GoBack"/>
      <w:bookmarkEnd w:id="0"/>
    </w:p>
    <w:p>
      <w:pPr>
        <w:keepNext w:val="0"/>
        <w:keepLines w:val="0"/>
        <w:widowControl/>
        <w:suppressLineNumbers w:val="0"/>
        <w:ind w:firstLine="640" w:firstLineChars="200"/>
        <w:jc w:val="left"/>
        <w:rPr>
          <w:rFonts w:hint="eastAsia" w:ascii="FangSong_GB2312" w:hAnsi="FangSong_GB2312" w:eastAsia="FangSong_GB2312" w:cs="FangSong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FangSong_GB2312" w:cs="Times New Roman"/>
          <w:sz w:val="32"/>
          <w:szCs w:val="32"/>
          <w:lang w:val="en-US" w:eastAsia="zh-CN"/>
        </w:rPr>
      </w:pPr>
    </w:p>
    <w:p>
      <w:pPr>
        <w:spacing w:line="600" w:lineRule="exact"/>
        <w:ind w:left="3511" w:leftChars="1672" w:firstLine="320" w:firstLineChars="100"/>
        <w:jc w:val="right"/>
        <w:rPr>
          <w:rFonts w:ascii="仿宋" w:hAnsi="仿宋" w:eastAsia="仿宋" w:cs="仿宋"/>
          <w:sz w:val="32"/>
          <w:szCs w:val="32"/>
        </w:rPr>
      </w:pPr>
      <w:r>
        <w:rPr>
          <w:rFonts w:hint="eastAsia" w:ascii="仿宋" w:hAnsi="仿宋" w:eastAsia="仿宋" w:cs="仿宋"/>
          <w:sz w:val="32"/>
          <w:szCs w:val="32"/>
        </w:rPr>
        <w:t>中共聊城</w:t>
      </w:r>
      <w:r>
        <w:rPr>
          <w:rFonts w:hint="eastAsia" w:ascii="仿宋" w:hAnsi="仿宋" w:eastAsia="仿宋" w:cs="仿宋"/>
          <w:sz w:val="32"/>
          <w:szCs w:val="32"/>
          <w:lang w:val="en-US" w:eastAsia="zh-CN"/>
        </w:rPr>
        <w:t>市技师</w:t>
      </w:r>
      <w:r>
        <w:rPr>
          <w:rFonts w:hint="eastAsia" w:ascii="仿宋" w:hAnsi="仿宋" w:eastAsia="仿宋" w:cs="仿宋"/>
          <w:sz w:val="32"/>
          <w:szCs w:val="32"/>
        </w:rPr>
        <w:t>学院委员会</w:t>
      </w:r>
    </w:p>
    <w:p>
      <w:pPr>
        <w:spacing w:line="600" w:lineRule="exact"/>
        <w:jc w:val="right"/>
        <w:rPr>
          <w:rFonts w:hint="eastAsia" w:ascii="仿宋" w:hAnsi="仿宋" w:eastAsia="仿宋" w:cs="仿宋"/>
          <w:sz w:val="32"/>
          <w:szCs w:val="32"/>
        </w:rPr>
      </w:pPr>
      <w:r>
        <w:rPr>
          <w:rFonts w:hint="eastAsia" w:ascii="仿宋" w:hAnsi="仿宋" w:eastAsia="仿宋" w:cs="仿宋"/>
          <w:sz w:val="32"/>
          <w:szCs w:val="32"/>
        </w:rPr>
        <w:t>“不忘初心、牢记使命”领导小组办公室</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right"/>
        <w:textAlignment w:val="auto"/>
        <w:rPr>
          <w:rFonts w:hint="default" w:ascii="Times New Roman" w:hAnsi="Times New Roman" w:eastAsia="FangSong_GB2312" w:cs="Times New Roman"/>
          <w:sz w:val="32"/>
          <w:szCs w:val="32"/>
          <w:lang w:val="en-US" w:eastAsia="zh-CN"/>
        </w:rPr>
      </w:pPr>
      <w:r>
        <w:rPr>
          <w:rFonts w:hint="eastAsia" w:ascii="仿宋" w:hAnsi="仿宋" w:eastAsia="仿宋" w:cs="仿宋"/>
          <w:sz w:val="32"/>
          <w:szCs w:val="32"/>
        </w:rPr>
        <w:t xml:space="preserve">                        2019年1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XiaoBiaoSong-B05S">
    <w:panose1 w:val="02010601030101010101"/>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KaiTi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57CA7"/>
    <w:multiLevelType w:val="singleLevel"/>
    <w:tmpl w:val="8CD57C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A4884"/>
    <w:rsid w:val="080E68DF"/>
    <w:rsid w:val="0F857794"/>
    <w:rsid w:val="12C95BB5"/>
    <w:rsid w:val="27EA4884"/>
    <w:rsid w:val="380263EC"/>
    <w:rsid w:val="463D31E4"/>
    <w:rsid w:val="53286883"/>
    <w:rsid w:val="5D8F6D95"/>
    <w:rsid w:val="7BA5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2019-11-21T01:19:00Z</dcterms:created>
  <dc:creator>Administrator</dc:creator>
  <cp:lastModifiedBy>Administrator</cp:lastModifiedBy>
  <dcterms:modified xsi:type="dcterms:W3CDTF">2019-11-21T06:07:18Z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