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4344" w:leftChars="735" w:hanging="2801" w:hangingChars="900"/>
        <w:jc w:val="left"/>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聊城市技师学院2023年新建楼宇周边绿化项目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聊城市技师学院2023年新建楼宇周边绿化项目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聊城市技师学院2023年新建楼宇周边绿化项目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聊城市技师学院2023年新建楼宇周边绿化项目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聊城市技师学院2023年新建楼宇周边绿化项目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聊城市技师学院2023年新建楼宇周边绿化项目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8127" w:type="dxa"/>
            <w:vAlign w:val="center"/>
          </w:tcPr>
          <w:p>
            <w:pPr>
              <w:spacing w:line="276" w:lineRule="auto"/>
              <w:jc w:val="left"/>
              <w:rPr>
                <w:rFonts w:hint="eastAsia" w:ascii="宋体" w:hAnsi="宋体"/>
                <w:szCs w:val="21"/>
              </w:rPr>
            </w:pPr>
            <w:r>
              <w:rPr>
                <w:rFonts w:hint="eastAsia" w:ascii="宋体" w:hAnsi="宋体"/>
                <w:szCs w:val="21"/>
              </w:rPr>
              <w:t>自完工验收合格之日起</w:t>
            </w:r>
            <w:r>
              <w:rPr>
                <w:rFonts w:hint="eastAsia" w:ascii="宋体" w:hAnsi="宋体"/>
                <w:szCs w:val="21"/>
                <w:lang w:val="en-US" w:eastAsia="zh-CN"/>
              </w:rPr>
              <w:t>1</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工程完工验收合格、审计完毕后，支付至工程总款额的90%，剩余10%验收合格之日起1年后无质量问题一次性付清。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2023年3月7日-2023年3月9日，每日上午8:30-11:30，下午14:30-17:00（北京时间）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Times New Roman" w:hAnsi="Times New Roman" w:eastAsia="宋体" w:cs="Times New Roman"/>
                <w:sz w:val="24"/>
                <w:lang w:val="en-US" w:eastAsia="zh-CN"/>
              </w:rPr>
              <w:t>23821.63</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r>
              <w:rPr>
                <w:rFonts w:hint="eastAsia" w:ascii="宋体" w:hAnsi="宋体"/>
                <w:b/>
                <w:bCs/>
                <w:szCs w:val="21"/>
                <w:lang w:val="en-US" w:eastAsia="zh-CN"/>
              </w:rPr>
              <w:t>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609"/>
        <w:gridCol w:w="1214"/>
        <w:gridCol w:w="1208"/>
        <w:gridCol w:w="1275"/>
        <w:gridCol w:w="127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jc w:val="left"/>
              <w:rPr>
                <w:rFonts w:hint="eastAsia"/>
                <w:sz w:val="24"/>
              </w:rPr>
            </w:pPr>
            <w:r>
              <w:rPr>
                <w:rFonts w:hint="eastAsia"/>
                <w:sz w:val="24"/>
              </w:rPr>
              <w:t>名称</w:t>
            </w:r>
          </w:p>
        </w:tc>
        <w:tc>
          <w:tcPr>
            <w:tcW w:w="1609" w:type="dxa"/>
            <w:noWrap w:val="0"/>
            <w:vAlign w:val="top"/>
          </w:tcPr>
          <w:p>
            <w:pPr>
              <w:jc w:val="left"/>
              <w:rPr>
                <w:rFonts w:hint="eastAsia"/>
                <w:sz w:val="24"/>
              </w:rPr>
            </w:pPr>
            <w:r>
              <w:rPr>
                <w:rFonts w:hint="eastAsia"/>
                <w:sz w:val="24"/>
              </w:rPr>
              <w:t>技术参数</w:t>
            </w:r>
          </w:p>
        </w:tc>
        <w:tc>
          <w:tcPr>
            <w:tcW w:w="1214" w:type="dxa"/>
            <w:noWrap w:val="0"/>
            <w:vAlign w:val="top"/>
          </w:tcPr>
          <w:p>
            <w:pPr>
              <w:jc w:val="left"/>
              <w:rPr>
                <w:rFonts w:hint="eastAsia"/>
                <w:sz w:val="24"/>
              </w:rPr>
            </w:pPr>
            <w:r>
              <w:rPr>
                <w:rFonts w:hint="eastAsia"/>
                <w:sz w:val="24"/>
              </w:rPr>
              <w:t>计量单位</w:t>
            </w:r>
          </w:p>
        </w:tc>
        <w:tc>
          <w:tcPr>
            <w:tcW w:w="1208" w:type="dxa"/>
            <w:noWrap w:val="0"/>
            <w:vAlign w:val="top"/>
          </w:tcPr>
          <w:p>
            <w:pPr>
              <w:jc w:val="left"/>
              <w:rPr>
                <w:rFonts w:hint="eastAsia"/>
                <w:sz w:val="24"/>
              </w:rPr>
            </w:pPr>
            <w:r>
              <w:rPr>
                <w:rFonts w:hint="eastAsia"/>
                <w:sz w:val="24"/>
              </w:rPr>
              <w:t>需求数量</w:t>
            </w:r>
          </w:p>
        </w:tc>
        <w:tc>
          <w:tcPr>
            <w:tcW w:w="1275" w:type="dxa"/>
            <w:noWrap w:val="0"/>
            <w:vAlign w:val="top"/>
          </w:tcPr>
          <w:p>
            <w:pPr>
              <w:jc w:val="left"/>
              <w:rPr>
                <w:rFonts w:hint="eastAsia"/>
                <w:sz w:val="24"/>
              </w:rPr>
            </w:pPr>
            <w:r>
              <w:rPr>
                <w:rFonts w:hint="eastAsia"/>
                <w:sz w:val="24"/>
              </w:rPr>
              <w:t>预计单价</w:t>
            </w:r>
          </w:p>
        </w:tc>
        <w:tc>
          <w:tcPr>
            <w:tcW w:w="1276" w:type="dxa"/>
            <w:noWrap w:val="0"/>
            <w:vAlign w:val="top"/>
          </w:tcPr>
          <w:p>
            <w:pPr>
              <w:jc w:val="left"/>
              <w:rPr>
                <w:rFonts w:hint="eastAsia"/>
                <w:sz w:val="24"/>
              </w:rPr>
            </w:pPr>
            <w:r>
              <w:rPr>
                <w:rFonts w:hint="eastAsia"/>
                <w:sz w:val="24"/>
              </w:rPr>
              <w:t>预计金额</w:t>
            </w:r>
          </w:p>
        </w:tc>
        <w:tc>
          <w:tcPr>
            <w:tcW w:w="907"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玉兰</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18"/>
              </w:rPr>
            </w:pPr>
            <w:r>
              <w:rPr>
                <w:rFonts w:hint="eastAsia"/>
                <w:sz w:val="18"/>
                <w:szCs w:val="18"/>
              </w:rPr>
              <w:t>胸径》8cm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18"/>
              </w:rPr>
            </w:pPr>
            <w:r>
              <w:rPr>
                <w:rFonts w:hint="eastAsia"/>
                <w:sz w:val="18"/>
                <w:szCs w:val="18"/>
              </w:rPr>
              <w:t>冠幅≥1.8m；植株高度3-3.5m</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银杏</w:t>
            </w:r>
          </w:p>
        </w:tc>
        <w:tc>
          <w:tcPr>
            <w:tcW w:w="1609" w:type="dxa"/>
            <w:noWrap w:val="0"/>
            <w:vAlign w:val="center"/>
          </w:tcPr>
          <w:p>
            <w:pPr>
              <w:jc w:val="left"/>
              <w:rPr>
                <w:rFonts w:hint="eastAsia"/>
                <w:sz w:val="18"/>
                <w:szCs w:val="18"/>
              </w:rPr>
            </w:pPr>
            <w:r>
              <w:rPr>
                <w:rFonts w:hint="eastAsia"/>
                <w:sz w:val="18"/>
                <w:szCs w:val="18"/>
              </w:rPr>
              <w:t>胸径≥10cm</w:t>
            </w:r>
            <w:r>
              <w:rPr>
                <w:rFonts w:hint="eastAsia"/>
                <w:sz w:val="18"/>
                <w:szCs w:val="18"/>
                <w:lang w:eastAsia="zh-CN"/>
              </w:rPr>
              <w:t>，</w:t>
            </w:r>
            <w:r>
              <w:rPr>
                <w:rFonts w:hint="eastAsia"/>
                <w:sz w:val="18"/>
                <w:szCs w:val="18"/>
              </w:rPr>
              <w:t>冠幅2m；分支点高度1.9-2.2m</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五角枫</w:t>
            </w:r>
          </w:p>
        </w:tc>
        <w:tc>
          <w:tcPr>
            <w:tcW w:w="1609" w:type="dxa"/>
            <w:noWrap w:val="0"/>
            <w:vAlign w:val="center"/>
          </w:tcPr>
          <w:p>
            <w:pPr>
              <w:jc w:val="left"/>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胸径7-8cm</w:t>
            </w:r>
            <w:r>
              <w:rPr>
                <w:rFonts w:hint="eastAsia" w:ascii="Times New Roman" w:hAnsi="Times New Roman" w:eastAsia="宋体" w:cs="Times New Roman"/>
                <w:sz w:val="18"/>
                <w:szCs w:val="18"/>
                <w:lang w:eastAsia="zh-CN"/>
              </w:rPr>
              <w:t>，植株高度6-7m</w:t>
            </w:r>
          </w:p>
        </w:tc>
        <w:tc>
          <w:tcPr>
            <w:tcW w:w="1214" w:type="dxa"/>
            <w:noWrap w:val="0"/>
            <w:vAlign w:val="center"/>
          </w:tcPr>
          <w:p>
            <w:pPr>
              <w:jc w:val="center"/>
              <w:rPr>
                <w:rFonts w:hint="eastAsia" w:ascii="Times New Roman" w:hAnsi="Times New Roman" w:eastAsia="宋体" w:cs="Times New Roman"/>
                <w:sz w:val="18"/>
                <w:szCs w:val="18"/>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龙柏苗</w:t>
            </w:r>
          </w:p>
        </w:tc>
        <w:tc>
          <w:tcPr>
            <w:tcW w:w="1609" w:type="dxa"/>
            <w:noWrap w:val="0"/>
            <w:vAlign w:val="center"/>
          </w:tcPr>
          <w:p>
            <w:pPr>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高度：0.4-0.5m，32棵/㎡</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133</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top"/>
          </w:tcPr>
          <w:p>
            <w:pPr>
              <w:jc w:val="left"/>
              <w:rPr>
                <w:rFonts w:hint="eastAsia"/>
                <w:sz w:val="28"/>
                <w:szCs w:val="28"/>
              </w:rPr>
            </w:pPr>
          </w:p>
        </w:tc>
        <w:tc>
          <w:tcPr>
            <w:tcW w:w="1609" w:type="dxa"/>
            <w:noWrap w:val="0"/>
            <w:vAlign w:val="top"/>
          </w:tcPr>
          <w:p>
            <w:pPr>
              <w:jc w:val="left"/>
              <w:rPr>
                <w:rFonts w:hint="eastAsia"/>
                <w:sz w:val="28"/>
                <w:szCs w:val="28"/>
              </w:rPr>
            </w:pPr>
          </w:p>
        </w:tc>
        <w:tc>
          <w:tcPr>
            <w:tcW w:w="1214" w:type="dxa"/>
            <w:noWrap w:val="0"/>
            <w:vAlign w:val="top"/>
          </w:tcPr>
          <w:p>
            <w:pPr>
              <w:jc w:val="left"/>
              <w:rPr>
                <w:rFonts w:hint="eastAsia"/>
                <w:sz w:val="28"/>
                <w:szCs w:val="28"/>
              </w:rPr>
            </w:pPr>
          </w:p>
        </w:tc>
        <w:tc>
          <w:tcPr>
            <w:tcW w:w="1208" w:type="dxa"/>
            <w:noWrap w:val="0"/>
            <w:vAlign w:val="top"/>
          </w:tcPr>
          <w:p>
            <w:pPr>
              <w:jc w:val="left"/>
              <w:rPr>
                <w:rFonts w:hint="eastAsia"/>
                <w:sz w:val="28"/>
                <w:szCs w:val="28"/>
              </w:rPr>
            </w:pPr>
          </w:p>
        </w:tc>
        <w:tc>
          <w:tcPr>
            <w:tcW w:w="1275" w:type="dxa"/>
            <w:noWrap w:val="0"/>
            <w:vAlign w:val="center"/>
          </w:tcPr>
          <w:p>
            <w:pPr>
              <w:jc w:val="center"/>
              <w:rPr>
                <w:rFonts w:hint="eastAsia" w:ascii="Times New Roman" w:hAnsi="Times New Roman" w:eastAsia="宋体" w:cs="Times New Roman"/>
                <w:sz w:val="24"/>
                <w:lang w:val="en-US" w:eastAsia="zh-CN"/>
              </w:rPr>
            </w:pPr>
          </w:p>
        </w:tc>
        <w:tc>
          <w:tcPr>
            <w:tcW w:w="1276" w:type="dxa"/>
            <w:noWrap w:val="0"/>
            <w:vAlign w:val="center"/>
          </w:tcPr>
          <w:p>
            <w:pPr>
              <w:jc w:val="center"/>
              <w:rPr>
                <w:rFonts w:hint="eastAsia"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p>
        </w:tc>
      </w:tr>
    </w:tbl>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p>
    <w:p>
      <w:pPr>
        <w:pStyle w:val="257"/>
        <w:numPr>
          <w:ilvl w:val="0"/>
          <w:numId w:val="0"/>
        </w:numPr>
        <w:tabs>
          <w:tab w:val="left" w:pos="0"/>
          <w:tab w:val="left" w:pos="180"/>
          <w:tab w:val="left" w:pos="360"/>
        </w:tabs>
        <w:spacing w:line="276" w:lineRule="auto"/>
        <w:ind w:leftChars="0"/>
        <w:jc w:val="both"/>
        <w:rPr>
          <w:rFonts w:hint="eastAsia"/>
          <w:b/>
          <w:color w:val="000000"/>
          <w:sz w:val="44"/>
          <w:lang w:val="en-US" w:eastAsia="zh-CN"/>
        </w:rPr>
      </w:pPr>
      <w:r>
        <w:rPr>
          <w:rFonts w:hint="eastAsia" w:ascii="Times New Roman" w:hAnsi="Times New Roman" w:cs="Times New Roman"/>
          <w:kern w:val="2"/>
          <w:sz w:val="28"/>
          <w:szCs w:val="28"/>
          <w:lang w:val="en-US" w:eastAsia="zh-CN" w:bidi="ar-SA"/>
        </w:rPr>
        <w:t>养护一年</w:t>
      </w:r>
    </w:p>
    <w:p>
      <w:pPr>
        <w:pStyle w:val="257"/>
        <w:numPr>
          <w:ilvl w:val="0"/>
          <w:numId w:val="5"/>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134"/>
        <w:gridCol w:w="668"/>
        <w:gridCol w:w="600"/>
        <w:gridCol w:w="85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413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85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97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cs="宋体"/>
                <w:i w:val="0"/>
                <w:iCs w:val="0"/>
                <w:color w:val="000000"/>
                <w:kern w:val="0"/>
                <w:sz w:val="18"/>
                <w:szCs w:val="18"/>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2</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1.种类:银杏，一级苗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2.胸径或干径:胸径≥10cm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3.株高、冠径:冠幅2m；分支点高度1.9-2.2m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868.51</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1737.02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3</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1.种类:移植五角枫</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2.胸径或干径:胸径7-8cm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3.株高、冠径:植株高度6-7m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462.96</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3703.68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4</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栽植色带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1.苗木、花卉种类:龙柏，一级苗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2.高度:0.4-0.5m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3.备注:32株/平方,高度为修剪后,冠幅饱满，随地形形成层次效果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4.整理绿化用地（碎石清理、混凝土地面破除等）</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133</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92.89</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12354.37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default"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5</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1.种类:玉兰，一级苗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2.胸径或干径:胸径》8cm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3.株高、冠径:冠幅≥1.8m；植株高度3-3.5m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753.32</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6026.56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jc w:val="center"/>
              <w:outlineLvl w:val="0"/>
              <w:rPr>
                <w:rFonts w:hint="default"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预算总价</w:t>
            </w:r>
          </w:p>
          <w:p>
            <w:pPr>
              <w:keepNext w:val="0"/>
              <w:keepLines w:val="0"/>
              <w:pageBreakBefore w:val="0"/>
              <w:kinsoku/>
              <w:wordWrap/>
              <w:overflowPunct/>
              <w:topLinePunct w:val="0"/>
              <w:autoSpaceDE/>
              <w:autoSpaceDN/>
              <w:bidi w:val="0"/>
              <w:adjustRightInd/>
              <w:snapToGrid/>
              <w:spacing w:line="200" w:lineRule="exact"/>
              <w:jc w:val="center"/>
              <w:outlineLvl w:val="0"/>
              <w:rPr>
                <w:rFonts w:hint="default" w:ascii="仿宋_GB2312" w:hAnsi="仿宋_GB2312" w:eastAsia="仿宋_GB2312"/>
                <w:sz w:val="24"/>
                <w:vertAlign w:val="baseline"/>
                <w:lang w:val="en-US" w:eastAsia="zh-CN"/>
              </w:rPr>
            </w:pP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10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Times New Roman" w:hAnsi="Times New Roman" w:eastAsia="宋体" w:cs="Times New Roman"/>
                <w:sz w:val="24"/>
                <w:lang w:val="en-US" w:eastAsia="zh-CN"/>
              </w:rPr>
              <w:t>23821.63</w:t>
            </w:r>
            <w:r>
              <w:rPr>
                <w:rFonts w:hint="eastAsia" w:cs="Times New Roman"/>
                <w:sz w:val="24"/>
                <w:lang w:val="en-US" w:eastAsia="zh-CN"/>
              </w:rPr>
              <w:t>元</w:t>
            </w:r>
          </w:p>
        </w:tc>
      </w:tr>
    </w:tbl>
    <w:p>
      <w:pPr>
        <w:pStyle w:val="2"/>
        <w:ind w:firstLine="0" w:firstLineChars="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lang w:val="en-US" w:eastAsia="zh-CN"/>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FAB787C"/>
    <w:rsid w:val="194417AD"/>
    <w:rsid w:val="1C790F1A"/>
    <w:rsid w:val="4B2500E2"/>
    <w:rsid w:val="530807FB"/>
    <w:rsid w:val="601A15CA"/>
    <w:rsid w:val="616C351D"/>
    <w:rsid w:val="69CC66CF"/>
    <w:rsid w:val="6B0A1B50"/>
    <w:rsid w:val="72EB0EF9"/>
    <w:rsid w:val="756E1244"/>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2178</Words>
  <Characters>2521</Characters>
  <Lines>21</Lines>
  <Paragraphs>6</Paragraphs>
  <TotalTime>1</TotalTime>
  <ScaleCrop>false</ScaleCrop>
  <LinksUpToDate>false</LinksUpToDate>
  <CharactersWithSpaces>2596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2023-03-07T08:38:39Z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9FC5A3A13DC94ED8B00EF22BD6CC1E23</vt:lpwstr>
  </property>
</Properties>
</file>