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聊城市技师学院培训楼电缆恢复采购项目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编号：JYTP2023-030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二三年十一月</w:t>
      </w:r>
    </w:p>
    <w:p>
      <w:pPr>
        <w:pStyle w:val="2"/>
        <w:ind w:left="0" w:leftChars="0"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聊城市技师学院培训楼电缆恢复采购项目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布</w:t>
      </w:r>
      <w:r>
        <w:rPr>
          <w:rFonts w:hint="eastAsia" w:ascii="宋体" w:hAnsi="宋体"/>
          <w:sz w:val="24"/>
          <w:szCs w:val="24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  <w:lang w:val="en-US" w:eastAsia="zh-CN"/>
        </w:rPr>
        <w:t>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二、项目名称：聊城市技师学院培训楼电缆恢复采购项目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个包：聊城市技师学院培训楼电缆恢复采购项目，详见项目说明。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获取采购文件时间、地点：2023年11月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日-2023年11月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报名时间即获取采购文件时间。逾期不接受报名。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</w:t>
      </w:r>
      <w:r>
        <w:rPr>
          <w:rFonts w:hint="eastAsia" w:ascii="宋体" w:hAnsi="宋体"/>
          <w:sz w:val="24"/>
          <w:szCs w:val="24"/>
          <w:lang w:val="en-US" w:eastAsia="zh-CN"/>
        </w:rPr>
        <w:t>A312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六、报价截止日期：2023年11月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七、谈判日期：2023年11月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财务</w:t>
      </w:r>
      <w:r>
        <w:rPr>
          <w:rFonts w:hint="eastAsia" w:ascii="宋体" w:hAnsi="宋体"/>
          <w:sz w:val="24"/>
          <w:szCs w:val="24"/>
        </w:rPr>
        <w:t>处网站及学院汇智楼门厅公告栏中公示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3年11月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聊城市技师学院培训楼电缆恢复采购项目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本项目共一个标段，主要内容为聊城市技师学院培训楼电缆恢复采购项目。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42075.07元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简易竞争性谈判</w:t>
            </w:r>
            <w:r>
              <w:rPr>
                <w:rFonts w:hint="eastAsia" w:ascii="宋体" w:hAnsi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green"/>
                <w:lang w:val="en-US" w:eastAsia="zh-CN"/>
              </w:rPr>
              <w:t>质保期两年。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接甲方通知后，7日内完工。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工程全部完工经验收合格且审计结算完成后，付至审计结算价款的90%,剩余10%待两年质保期满后无质量问题一次性无息付清。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2023年11月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日-2023年11月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2023年11月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2023年11月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65"/>
        <w:gridCol w:w="1080"/>
        <w:gridCol w:w="1080"/>
        <w:gridCol w:w="1420"/>
        <w:gridCol w:w="1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培训电缆恢复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199" w:firstLineChars="83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1.查找原埋地电缆断点。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199" w:firstLineChars="83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2.新增电缆与原电缆型号一致-YJV4*35+1*16。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240" w:firstLineChars="10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3.包含水泥路面、花砖地面、绿化带破除并恢复，线管铺设，顶管以及垃圾</w:t>
      </w:r>
      <w:r>
        <w:rPr>
          <w:rFonts w:hint="eastAsia" w:ascii="仿宋_GB2312" w:hAnsi="仿宋_GB2312" w:eastAsia="仿宋_GB2312"/>
          <w:sz w:val="24"/>
          <w:lang w:val="en-US" w:eastAsia="zh-CN"/>
        </w:rPr>
        <w:t>清理。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196" w:firstLineChars="82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4.具体工作量详见清单。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313" w:firstLineChars="75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48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65"/>
        <w:gridCol w:w="1080"/>
        <w:gridCol w:w="1080"/>
        <w:gridCol w:w="1420"/>
        <w:gridCol w:w="1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预计单价（元）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培训电缆恢复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42075.07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42075.07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313" w:firstLineChars="750"/>
        <w:rPr>
          <w:b/>
          <w:color w:val="000000"/>
          <w:sz w:val="44"/>
        </w:rPr>
      </w:pPr>
    </w:p>
    <w:tbl>
      <w:tblPr>
        <w:tblStyle w:val="48"/>
        <w:tblW w:w="9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"/>
        <w:gridCol w:w="20"/>
        <w:gridCol w:w="380"/>
        <w:gridCol w:w="860"/>
        <w:gridCol w:w="160"/>
        <w:gridCol w:w="340"/>
        <w:gridCol w:w="680"/>
        <w:gridCol w:w="20"/>
        <w:gridCol w:w="560"/>
        <w:gridCol w:w="1280"/>
        <w:gridCol w:w="160"/>
        <w:gridCol w:w="120"/>
        <w:gridCol w:w="420"/>
        <w:gridCol w:w="40"/>
        <w:gridCol w:w="100"/>
        <w:gridCol w:w="460"/>
        <w:gridCol w:w="160"/>
        <w:gridCol w:w="20"/>
        <w:gridCol w:w="20"/>
        <w:gridCol w:w="60"/>
        <w:gridCol w:w="180"/>
        <w:gridCol w:w="700"/>
        <w:gridCol w:w="120"/>
        <w:gridCol w:w="160"/>
        <w:gridCol w:w="40"/>
        <w:gridCol w:w="900"/>
        <w:gridCol w:w="20"/>
        <w:gridCol w:w="20"/>
        <w:gridCol w:w="1060"/>
        <w:gridCol w:w="20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95" w:hRule="atLeast"/>
        </w:trPr>
        <w:tc>
          <w:tcPr>
            <w:tcW w:w="98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工程名称：培训楼电缆恢复</w:t>
            </w:r>
          </w:p>
        </w:tc>
        <w:tc>
          <w:tcPr>
            <w:tcW w:w="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320" w:type="dxa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56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0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3020" w:type="dxa"/>
            <w:gridSpan w:val="8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其中：暂估价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030404017001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配电箱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1.名称:配电箱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2.安装方式:距地1.6m明装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96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030408001001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1.名称:电力电缆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2.型号:YJV4*35+1*16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3.敷设方式、部位:穿管敷设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206.4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030408006001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电力电缆头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1.名称:电缆终端头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2.型号:YJV4*35+1*16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030408006002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电力电缆头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1.名称:电缆中间头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2.型号:YJV4*35+1*16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96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030408003001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电缆保护管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1.名称:电缆保护管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2.材质:PE63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3.敷设方式:埋地敷设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03B001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查找电缆断点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1.说明:查找埋地电缆断点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040501012001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1.顶管工作方式:水平导向钻进PE63管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041001001001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拆除路面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1.材质:混凝土路面拆除（含垃圾外运）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2.厚度:300mm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040203007001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水泥混凝土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1.混凝土强度等级:C20混凝土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2.厚度:300mm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041001002001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拆除人行道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1.材质:花砖地面拆除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5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040203008001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块料面层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1.块料品种、规格:原花砖地面恢复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挖沟槽土方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1.土壤类别:普通土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2.挖土深度:2m 内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挖基坑土方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1.土壤类别:普通土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2.挖土深度:2m 内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96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33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回填方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1.密实度要求:分层夯填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2.填方材料品种:素土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3.填方来源、运距:原土回填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315" w:hRule="atLeast"/>
        </w:trPr>
        <w:tc>
          <w:tcPr>
            <w:tcW w:w="7840" w:type="dxa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trHeight w:val="315" w:hRule="atLeast"/>
        </w:trPr>
        <w:tc>
          <w:tcPr>
            <w:tcW w:w="7840" w:type="dxa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95" w:hRule="atLeast"/>
        </w:trPr>
        <w:tc>
          <w:tcPr>
            <w:tcW w:w="99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措施项目清单与计价表(一)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3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工程名称：培训楼电缆恢复</w:t>
            </w:r>
          </w:p>
        </w:tc>
        <w:tc>
          <w:tcPr>
            <w:tcW w:w="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5" w:hRule="atLeast"/>
        </w:trPr>
        <w:tc>
          <w:tcPr>
            <w:tcW w:w="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4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140" w:type="dxa"/>
            <w:gridSpan w:val="6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费 率（%）</w:t>
            </w:r>
          </w:p>
        </w:tc>
        <w:tc>
          <w:tcPr>
            <w:tcW w:w="122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112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82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031302002001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夜间施工费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82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031302004001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82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031302005001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82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031302006001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25" w:hRule="atLeast"/>
        </w:trPr>
        <w:tc>
          <w:tcPr>
            <w:tcW w:w="7560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2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措施项目清单与计价表(二)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工程名称：培训楼电缆恢复</w:t>
            </w:r>
          </w:p>
        </w:tc>
        <w:tc>
          <w:tcPr>
            <w:tcW w:w="3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880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70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计量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860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3240" w:type="dxa"/>
            <w:gridSpan w:val="11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合价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其中：暂估价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80" w:type="dxa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80" w:type="dxa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95" w:hRule="atLeast"/>
        </w:trPr>
        <w:tc>
          <w:tcPr>
            <w:tcW w:w="99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规费、税金项目清单与计价表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3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工程名称：培训楼电缆恢复</w:t>
            </w:r>
          </w:p>
        </w:tc>
        <w:tc>
          <w:tcPr>
            <w:tcW w:w="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5" w:hRule="atLeast"/>
        </w:trPr>
        <w:tc>
          <w:tcPr>
            <w:tcW w:w="1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0" w:type="dxa"/>
            <w:gridSpan w:val="6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2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2020" w:type="dxa"/>
            <w:gridSpan w:val="11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202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1.1.1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3.51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1.1.2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0.29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1.1.3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1.1.4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1.76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1.52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建设项目工伤保险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0.105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优质优价费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分部分项工程费+措施项目费+其他项目费-不取规费_合计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185" w:hRule="atLeast"/>
        </w:trPr>
        <w:tc>
          <w:tcPr>
            <w:tcW w:w="122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税金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5" w:hRule="atLeast"/>
        </w:trPr>
        <w:tc>
          <w:tcPr>
            <w:tcW w:w="7880" w:type="dxa"/>
            <w:gridSpan w:val="2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516A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6C00"/>
    <w:rsid w:val="00541B96"/>
    <w:rsid w:val="005434AA"/>
    <w:rsid w:val="005451C3"/>
    <w:rsid w:val="00550FC2"/>
    <w:rsid w:val="00551DC7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379FD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257AD"/>
    <w:rsid w:val="0074304A"/>
    <w:rsid w:val="00752485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B4D0F"/>
    <w:rsid w:val="00AB6EB6"/>
    <w:rsid w:val="00AD7E61"/>
    <w:rsid w:val="00B1759A"/>
    <w:rsid w:val="00B2065B"/>
    <w:rsid w:val="00B468FC"/>
    <w:rsid w:val="00B53824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7382A"/>
    <w:rsid w:val="00E85EAE"/>
    <w:rsid w:val="00E923EC"/>
    <w:rsid w:val="00EB5E8C"/>
    <w:rsid w:val="00ED0FC4"/>
    <w:rsid w:val="00EE680D"/>
    <w:rsid w:val="00F0268F"/>
    <w:rsid w:val="00F041DA"/>
    <w:rsid w:val="00FB345F"/>
    <w:rsid w:val="00FC3827"/>
    <w:rsid w:val="00FF1FEF"/>
    <w:rsid w:val="0255489B"/>
    <w:rsid w:val="05241F07"/>
    <w:rsid w:val="05C55124"/>
    <w:rsid w:val="08BF7794"/>
    <w:rsid w:val="09D27438"/>
    <w:rsid w:val="11BC3C7C"/>
    <w:rsid w:val="155013FC"/>
    <w:rsid w:val="16220303"/>
    <w:rsid w:val="194417AD"/>
    <w:rsid w:val="1A7254D6"/>
    <w:rsid w:val="1BE804D9"/>
    <w:rsid w:val="1C790F1A"/>
    <w:rsid w:val="1D3E6C48"/>
    <w:rsid w:val="1D4B2E52"/>
    <w:rsid w:val="262B023E"/>
    <w:rsid w:val="300F0BC6"/>
    <w:rsid w:val="30507EBF"/>
    <w:rsid w:val="31D41ACA"/>
    <w:rsid w:val="3CEA65FD"/>
    <w:rsid w:val="3F1E091D"/>
    <w:rsid w:val="46791F9D"/>
    <w:rsid w:val="46B17416"/>
    <w:rsid w:val="48A759E8"/>
    <w:rsid w:val="4B2500E2"/>
    <w:rsid w:val="530807FB"/>
    <w:rsid w:val="5AB30825"/>
    <w:rsid w:val="616C351D"/>
    <w:rsid w:val="72EB0EF9"/>
    <w:rsid w:val="73CB7283"/>
    <w:rsid w:val="76C23869"/>
    <w:rsid w:val="7A0E0DD8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21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qFormat/>
    <w:uiPriority w:val="99"/>
    <w:rPr>
      <w:kern w:val="0"/>
      <w:sz w:val="2"/>
    </w:rPr>
  </w:style>
  <w:style w:type="paragraph" w:styleId="32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qFormat/>
    <w:locked/>
    <w:uiPriority w:val="99"/>
    <w:rPr>
      <w:sz w:val="18"/>
    </w:rPr>
  </w:style>
  <w:style w:type="character" w:customStyle="1" w:styleId="90">
    <w:name w:val="页脚 Char"/>
    <w:link w:val="32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11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757D4-A49D-47C8-BB23-1BA47E77F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660</Words>
  <Characters>3763</Characters>
  <Lines>31</Lines>
  <Paragraphs>8</Paragraphs>
  <TotalTime>137</TotalTime>
  <ScaleCrop>false</ScaleCrop>
  <LinksUpToDate>false</LinksUpToDate>
  <CharactersWithSpaces>4415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2023-10-08T02:56:00Z</dcterms:created>
  <dc:creator>5idn</dc:creator>
  <cp:lastModifiedBy>pubbing</cp:lastModifiedBy>
  <cp:lastPrinted>2019-10-30T14:07:00Z</cp:lastPrinted>
  <dcterms:modified xsi:type="dcterms:W3CDTF">2023-11-17T10:12:55Z</dcterms:modified>
  <dc:title>工 程 施 工 招 标 文 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15131DCCA735478F8343D51D56C251D0_13</vt:lpwstr>
  </property>
</Properties>
</file>