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雨棚钢结构除锈刷漆等维修采购项目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38</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十二</w:t>
      </w:r>
      <w:r>
        <w:rPr>
          <w:rFonts w:hint="eastAsia" w:ascii="楷体_GB2312" w:eastAsia="楷体_GB2312"/>
          <w:b/>
          <w:sz w:val="28"/>
          <w:szCs w:val="28"/>
          <w:highlight w:val="none"/>
          <w:u w:val="single"/>
        </w:rPr>
        <w:t>月</w:t>
      </w:r>
    </w:p>
    <w:p w14:paraId="33A42A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p>
    <w:p w14:paraId="3B18A7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雨棚钢结构除锈刷漆等维修项目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2F3CAAE7">
      <w:pPr>
        <w:numPr>
          <w:ilvl w:val="0"/>
          <w:numId w:val="5"/>
        </w:numPr>
        <w:adjustRightInd w:val="0"/>
        <w:snapToGrid w:val="0"/>
        <w:spacing w:line="560" w:lineRule="exact"/>
        <w:jc w:val="left"/>
        <w:rPr>
          <w:rFonts w:hint="eastAsia" w:ascii="宋体" w:hAnsi="宋体"/>
          <w:sz w:val="24"/>
          <w:szCs w:val="24"/>
          <w:highlight w:val="none"/>
          <w:lang w:val="en-US" w:eastAsia="zh-CN"/>
        </w:rPr>
      </w:pPr>
      <w:r>
        <w:rPr>
          <w:rFonts w:hint="eastAsia" w:ascii="宋体" w:hAnsi="宋体"/>
          <w:sz w:val="24"/>
          <w:szCs w:val="24"/>
          <w:highlight w:val="none"/>
        </w:rPr>
        <w:t>项目名称：</w:t>
      </w:r>
      <w:r>
        <w:rPr>
          <w:rFonts w:hint="eastAsia" w:ascii="宋体" w:hAnsi="宋体"/>
          <w:sz w:val="24"/>
          <w:szCs w:val="24"/>
          <w:highlight w:val="none"/>
          <w:lang w:val="en-US" w:eastAsia="zh-CN"/>
        </w:rPr>
        <w:t>雨棚钢结构除锈刷漆等维修项目</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w:t>
      </w:r>
      <w:r>
        <w:rPr>
          <w:rFonts w:hint="eastAsia" w:ascii="宋体" w:hAnsi="宋体"/>
          <w:sz w:val="24"/>
          <w:szCs w:val="24"/>
          <w:highlight w:val="none"/>
          <w:lang w:val="en-US" w:eastAsia="zh-CN"/>
        </w:rPr>
        <w:t>雨棚钢结构除锈刷漆等维修项目</w:t>
      </w:r>
      <w:r>
        <w:rPr>
          <w:rFonts w:hint="eastAsia" w:ascii="宋体" w:hAnsi="宋体"/>
          <w:sz w:val="24"/>
          <w:szCs w:val="24"/>
          <w:highlight w:val="none"/>
        </w:rPr>
        <w:t>，详见项目说明。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038-雨棚-公司名称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12月22</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lang w:val="en-US" w:eastAsia="zh-CN"/>
              </w:rPr>
              <w:t>雨棚钢结构除锈刷漆等维修项目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w:t>
            </w:r>
            <w:r>
              <w:rPr>
                <w:rFonts w:hint="eastAsia" w:ascii="宋体" w:hAnsi="宋体" w:eastAsia="宋体" w:cs="Times New Roman"/>
                <w:spacing w:val="0"/>
                <w:kern w:val="2"/>
                <w:sz w:val="24"/>
                <w:szCs w:val="24"/>
                <w:highlight w:val="none"/>
                <w:lang w:val="en-US" w:eastAsia="zh-CN" w:bidi="ar-SA"/>
              </w:rPr>
              <w:t>雨棚钢结构除锈刷漆等维修项目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16339.2元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14</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B49D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253</w:t>
            </w:r>
            <w:r>
              <w:rPr>
                <w:rFonts w:hint="eastAsia" w:asciiTheme="minorEastAsia" w:hAnsiTheme="minorEastAsia" w:eastAsiaTheme="minorEastAsia"/>
                <w:szCs w:val="21"/>
                <w:lang w:val="en-US" w:eastAsia="zh-CN"/>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469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6AA749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42" w:type="dxa"/>
            <w:tcBorders>
              <w:left w:val="single" w:color="000000" w:sz="4" w:space="0"/>
              <w:bottom w:val="single" w:color="000000" w:sz="4" w:space="0"/>
              <w:right w:val="single" w:color="000000" w:sz="4" w:space="0"/>
            </w:tcBorders>
            <w:shd w:val="clear" w:color="FFFFFF" w:fill="FFFFFF"/>
            <w:vAlign w:val="top"/>
          </w:tcPr>
          <w:p w14:paraId="67FE1FF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75FA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24" w:type="dxa"/>
            <w:tcBorders>
              <w:left w:val="single" w:color="000000" w:sz="4" w:space="0"/>
              <w:bottom w:val="single" w:color="000000" w:sz="4" w:space="0"/>
              <w:right w:val="single" w:color="000000" w:sz="4" w:space="0"/>
            </w:tcBorders>
            <w:shd w:val="clear" w:color="FFFFFF" w:fill="FFFFFF"/>
            <w:vAlign w:val="center"/>
          </w:tcPr>
          <w:p w14:paraId="1AEEA7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75874D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846" w:type="dxa"/>
            <w:tcBorders>
              <w:left w:val="single" w:color="000000" w:sz="4" w:space="0"/>
              <w:bottom w:val="single" w:color="000000" w:sz="4" w:space="0"/>
              <w:right w:val="single" w:color="000000" w:sz="4" w:space="0"/>
            </w:tcBorders>
            <w:shd w:val="clear" w:color="FFFFFF" w:fill="FFFFFF"/>
            <w:vAlign w:val="center"/>
          </w:tcPr>
          <w:p w14:paraId="7D5126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6205A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AFAD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2F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7941DD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42" w:type="dxa"/>
            <w:tcBorders>
              <w:left w:val="single" w:color="000000" w:sz="4" w:space="0"/>
              <w:bottom w:val="single" w:color="000000" w:sz="4" w:space="0"/>
              <w:right w:val="single" w:color="000000" w:sz="4" w:space="0"/>
            </w:tcBorders>
            <w:shd w:val="clear" w:color="FFFFFF" w:fill="FFFFFF"/>
            <w:vAlign w:val="top"/>
          </w:tcPr>
          <w:p w14:paraId="0F9C056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4229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24" w:type="dxa"/>
            <w:tcBorders>
              <w:left w:val="single" w:color="000000" w:sz="4" w:space="0"/>
              <w:bottom w:val="single" w:color="000000" w:sz="4" w:space="0"/>
              <w:right w:val="single" w:color="000000" w:sz="4" w:space="0"/>
            </w:tcBorders>
            <w:shd w:val="clear" w:color="FFFFFF" w:fill="FFFFFF"/>
            <w:vAlign w:val="center"/>
          </w:tcPr>
          <w:p w14:paraId="48DDC1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130</w:t>
            </w:r>
          </w:p>
        </w:tc>
        <w:tc>
          <w:tcPr>
            <w:tcW w:w="847" w:type="dxa"/>
            <w:tcBorders>
              <w:left w:val="single" w:color="000000" w:sz="4" w:space="0"/>
              <w:bottom w:val="single" w:color="000000" w:sz="4" w:space="0"/>
              <w:right w:val="single" w:color="000000" w:sz="4" w:space="0"/>
            </w:tcBorders>
            <w:shd w:val="clear" w:color="FFFFFF" w:fill="FFFFFF"/>
            <w:vAlign w:val="center"/>
          </w:tcPr>
          <w:p w14:paraId="4CC9AD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161247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DB31C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8541E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43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F47C9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42" w:type="dxa"/>
            <w:tcBorders>
              <w:left w:val="single" w:color="000000" w:sz="4" w:space="0"/>
              <w:bottom w:val="single" w:color="000000" w:sz="4" w:space="0"/>
              <w:right w:val="single" w:color="000000" w:sz="4" w:space="0"/>
            </w:tcBorders>
            <w:shd w:val="clear" w:color="FFFFFF" w:fill="FFFFFF"/>
            <w:vAlign w:val="top"/>
          </w:tcPr>
          <w:p w14:paraId="6012FE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0F2E39C4">
            <w:pPr>
              <w:bidi w:val="0"/>
              <w:jc w:val="left"/>
              <w:rPr>
                <w:rFonts w:hint="default"/>
                <w:lang w:val="en-US" w:eastAsia="zh-CN"/>
              </w:rPr>
            </w:pPr>
            <w:r>
              <w:rPr>
                <w:rFonts w:hint="eastAsia"/>
                <w:lang w:val="en-US" w:eastAsia="zh-CN"/>
              </w:rPr>
              <w:t>门口墙角维修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8BA9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24" w:type="dxa"/>
            <w:tcBorders>
              <w:left w:val="single" w:color="000000" w:sz="4" w:space="0"/>
              <w:bottom w:val="single" w:color="000000" w:sz="4" w:space="0"/>
              <w:right w:val="single" w:color="000000" w:sz="4" w:space="0"/>
            </w:tcBorders>
            <w:shd w:val="clear" w:color="FFFFFF" w:fill="FFFFFF"/>
            <w:vAlign w:val="center"/>
          </w:tcPr>
          <w:p w14:paraId="03977C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135158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06FC2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5E12F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EED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86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5DCAF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142" w:type="dxa"/>
            <w:tcBorders>
              <w:left w:val="single" w:color="000000" w:sz="4" w:space="0"/>
              <w:bottom w:val="single" w:color="000000" w:sz="4" w:space="0"/>
              <w:right w:val="single" w:color="000000" w:sz="4" w:space="0"/>
            </w:tcBorders>
            <w:shd w:val="clear" w:color="FFFFFF" w:fill="FFFFFF"/>
            <w:vAlign w:val="top"/>
          </w:tcPr>
          <w:p w14:paraId="19C5AF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门窗维修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767C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南门岗值班室铝合金窗年久失修，需更换窗户五金件、密封胶条</w:t>
            </w:r>
            <w:r>
              <w:rPr>
                <w:rFonts w:hint="eastAsia" w:ascii="宋体" w:hAnsi="宋体" w:eastAsia="宋体" w:cs="宋体"/>
                <w:szCs w:val="21"/>
                <w:lang w:eastAsia="zh-CN"/>
              </w:rPr>
              <w:t>，</w:t>
            </w:r>
            <w:r>
              <w:rPr>
                <w:rFonts w:hint="eastAsia" w:ascii="宋体" w:hAnsi="宋体" w:eastAsia="宋体" w:cs="宋体"/>
                <w:szCs w:val="21"/>
              </w:rPr>
              <w:t>恢复窗户正常开关及密封性能。</w:t>
            </w:r>
          </w:p>
        </w:tc>
        <w:tc>
          <w:tcPr>
            <w:tcW w:w="824" w:type="dxa"/>
            <w:tcBorders>
              <w:left w:val="single" w:color="000000" w:sz="4" w:space="0"/>
              <w:bottom w:val="single" w:color="000000" w:sz="4" w:space="0"/>
              <w:right w:val="single" w:color="000000" w:sz="4" w:space="0"/>
            </w:tcBorders>
            <w:shd w:val="clear" w:color="FFFFFF" w:fill="FFFFFF"/>
            <w:vAlign w:val="center"/>
          </w:tcPr>
          <w:p w14:paraId="6D4AE0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27EC0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6CDF43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730A7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612A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bookmarkStart w:id="2" w:name="_GoBack"/>
      <w:bookmarkEnd w:id="2"/>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ascii="宋体" w:hAnsi="宋体" w:eastAsia="宋体" w:cs="宋体"/>
          <w:b w:val="0"/>
          <w:bCs w:val="0"/>
          <w:sz w:val="22"/>
          <w:szCs w:val="21"/>
          <w:highlight w:val="none"/>
          <w:lang w:eastAsia="zh-CN"/>
        </w:rPr>
      </w:pPr>
    </w:p>
    <w:p w14:paraId="35F67C59">
      <w:pPr>
        <w:pStyle w:val="160"/>
        <w:spacing w:line="360" w:lineRule="auto"/>
        <w:rPr>
          <w:rFonts w:hint="eastAsia" w:ascii="宋体" w:hAnsi="宋体" w:eastAsia="宋体" w:cs="宋体"/>
          <w:b w:val="0"/>
          <w:bCs w:val="0"/>
          <w:sz w:val="22"/>
          <w:szCs w:val="21"/>
          <w:highlight w:val="none"/>
          <w:lang w:val="en-US" w:eastAsia="zh-CN"/>
        </w:rPr>
      </w:pPr>
      <w:r>
        <w:rPr>
          <w:rFonts w:hint="eastAsia" w:ascii="宋体" w:hAnsi="宋体" w:eastAsia="宋体" w:cs="宋体"/>
          <w:b w:val="0"/>
          <w:bCs w:val="0"/>
          <w:sz w:val="22"/>
          <w:szCs w:val="21"/>
          <w:highlight w:val="none"/>
          <w:lang w:val="en-US" w:eastAsia="zh-CN"/>
        </w:rPr>
        <w:t>1</w:t>
      </w:r>
      <w:r>
        <w:rPr>
          <w:rFonts w:hint="eastAsia" w:ascii="宋体" w:hAnsi="宋体" w:eastAsia="宋体" w:cs="宋体"/>
          <w:b w:val="0"/>
          <w:bCs w:val="0"/>
          <w:sz w:val="28"/>
          <w:szCs w:val="28"/>
          <w:highlight w:val="none"/>
          <w:lang w:val="en-US" w:eastAsia="zh-CN"/>
        </w:rPr>
        <w:t>、</w:t>
      </w:r>
      <w:r>
        <w:rPr>
          <w:rFonts w:hint="eastAsia" w:ascii="宋体" w:hAnsi="宋体" w:eastAsia="宋体" w:cs="宋体"/>
          <w:b w:val="0"/>
          <w:bCs w:val="0"/>
          <w:sz w:val="22"/>
          <w:szCs w:val="21"/>
          <w:highlight w:val="none"/>
          <w:lang w:val="en-US" w:eastAsia="zh-CN"/>
        </w:rPr>
        <w:t>雨棚钢结构刷漆后需对雨棚玻璃进行清理，保证洁净，另外实训楼2雨棚拉杆单独进行除锈粉刷。</w:t>
      </w:r>
    </w:p>
    <w:p w14:paraId="301B0BDF">
      <w:pPr>
        <w:pStyle w:val="160"/>
        <w:spacing w:line="360" w:lineRule="auto"/>
        <w:rPr>
          <w:rFonts w:hint="eastAsia" w:ascii="宋体" w:hAnsi="宋体" w:eastAsia="宋体" w:cs="宋体"/>
          <w:b w:val="0"/>
          <w:bCs w:val="0"/>
          <w:sz w:val="22"/>
          <w:szCs w:val="21"/>
          <w:highlight w:val="none"/>
          <w:lang w:val="en-US" w:eastAsia="zh-CN"/>
        </w:rPr>
      </w:pPr>
      <w:r>
        <w:rPr>
          <w:rFonts w:hint="eastAsia" w:ascii="宋体" w:hAnsi="宋体" w:eastAsia="宋体" w:cs="宋体"/>
          <w:b w:val="0"/>
          <w:bCs w:val="0"/>
          <w:sz w:val="22"/>
          <w:szCs w:val="21"/>
          <w:highlight w:val="none"/>
          <w:lang w:val="en-US" w:eastAsia="zh-CN"/>
        </w:rPr>
        <w:t>2、工程质量必须符合国家质量安全标准，如因乙方对在施工过程中或竣工后发生安全、质量问题，乙方承担全部责任，并赔偿一切损失。</w:t>
      </w:r>
    </w:p>
    <w:p w14:paraId="31991D10">
      <w:pPr>
        <w:pStyle w:val="160"/>
        <w:spacing w:line="360" w:lineRule="auto"/>
        <w:rPr>
          <w:rFonts w:hint="eastAsia" w:ascii="宋体" w:hAnsi="宋体" w:eastAsia="宋体" w:cs="宋体"/>
          <w:b w:val="0"/>
          <w:bCs w:val="0"/>
          <w:sz w:val="22"/>
          <w:szCs w:val="21"/>
          <w:highlight w:val="none"/>
          <w:lang w:val="en-US" w:eastAsia="zh-CN"/>
        </w:rPr>
      </w:pPr>
      <w:r>
        <w:rPr>
          <w:rFonts w:hint="eastAsia" w:ascii="宋体" w:hAnsi="宋体" w:eastAsia="宋体" w:cs="宋体"/>
          <w:b w:val="0"/>
          <w:bCs w:val="0"/>
          <w:sz w:val="22"/>
          <w:szCs w:val="21"/>
          <w:highlight w:val="none"/>
          <w:lang w:val="en-US" w:eastAsia="zh-CN"/>
        </w:rPr>
        <w:t>3、本项目在施工期间要文明施工、注意安全，服从甲方管理，垃圾、建筑材料、要及时覆盖、摆放整齐、车辆进场需要放置有序。</w:t>
      </w:r>
    </w:p>
    <w:p w14:paraId="02961C25">
      <w:pPr>
        <w:pStyle w:val="160"/>
        <w:spacing w:line="360" w:lineRule="auto"/>
        <w:rPr>
          <w:rFonts w:hint="eastAsia" w:ascii="宋体" w:hAnsi="宋体" w:eastAsia="宋体" w:cs="宋体"/>
          <w:b w:val="0"/>
          <w:bCs w:val="0"/>
          <w:sz w:val="22"/>
          <w:szCs w:val="21"/>
          <w:highlight w:val="none"/>
          <w:lang w:val="en-US" w:eastAsia="zh-CN"/>
        </w:rPr>
      </w:pPr>
      <w:r>
        <w:rPr>
          <w:rFonts w:hint="eastAsia" w:ascii="宋体" w:hAnsi="宋体" w:eastAsia="宋体" w:cs="宋体"/>
          <w:b w:val="0"/>
          <w:bCs w:val="0"/>
          <w:sz w:val="22"/>
          <w:szCs w:val="21"/>
          <w:highlight w:val="none"/>
          <w:lang w:val="en-US" w:eastAsia="zh-CN"/>
        </w:rPr>
        <w:t>4、供应商作为承包单位，对其施工活动现场的安全生产负全面主体责任，必须承担因自身原因（如违章指挥、违规操作、安全措施不到位等）导致的一切安全事故的法律责任和经济损失。</w:t>
      </w: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809"/>
        <w:gridCol w:w="4400"/>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9"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0096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41"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253</w:t>
            </w:r>
            <w:r>
              <w:rPr>
                <w:rFonts w:hint="eastAsia" w:asciiTheme="minorEastAsia" w:hAnsiTheme="minorEastAsia" w:eastAsiaTheme="minorEastAsia"/>
                <w:szCs w:val="21"/>
                <w:lang w:val="en-US" w:eastAsia="zh-CN"/>
              </w:rPr>
              <w:t>.4</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636"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38</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9629</w:t>
            </w:r>
            <w:r>
              <w:rPr>
                <w:rFonts w:hint="eastAsia" w:asciiTheme="minorEastAsia" w:hAnsiTheme="minorEastAsia" w:eastAsiaTheme="minorEastAsia"/>
                <w:szCs w:val="21"/>
                <w:lang w:val="en-US" w:eastAsia="zh-CN"/>
              </w:rPr>
              <w:t>.2</w:t>
            </w: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CA6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5B4CC2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09" w:type="dxa"/>
            <w:tcBorders>
              <w:left w:val="single" w:color="000000" w:sz="4" w:space="0"/>
              <w:bottom w:val="single" w:color="000000" w:sz="4" w:space="0"/>
              <w:right w:val="single" w:color="000000" w:sz="4" w:space="0"/>
            </w:tcBorders>
            <w:shd w:val="clear" w:color="FFFFFF" w:fill="FFFFFF"/>
            <w:vAlign w:val="top"/>
          </w:tcPr>
          <w:p w14:paraId="38D053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F5D2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41" w:type="dxa"/>
            <w:tcBorders>
              <w:left w:val="single" w:color="000000" w:sz="4" w:space="0"/>
              <w:bottom w:val="single" w:color="000000" w:sz="4" w:space="0"/>
              <w:right w:val="single" w:color="000000" w:sz="4" w:space="0"/>
            </w:tcBorders>
            <w:shd w:val="clear" w:color="FFFFFF" w:fill="FFFFFF"/>
            <w:vAlign w:val="center"/>
          </w:tcPr>
          <w:p w14:paraId="5A7CD6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67" w:type="dxa"/>
            <w:tcBorders>
              <w:left w:val="single" w:color="000000" w:sz="4" w:space="0"/>
              <w:bottom w:val="single" w:color="000000" w:sz="4" w:space="0"/>
              <w:right w:val="single" w:color="000000" w:sz="4" w:space="0"/>
            </w:tcBorders>
            <w:shd w:val="clear" w:color="FFFFFF" w:fill="FFFFFF"/>
            <w:vAlign w:val="center"/>
          </w:tcPr>
          <w:p w14:paraId="6C57A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636" w:type="dxa"/>
            <w:tcBorders>
              <w:left w:val="single" w:color="000000" w:sz="4" w:space="0"/>
              <w:bottom w:val="single" w:color="000000" w:sz="4" w:space="0"/>
              <w:right w:val="single" w:color="000000" w:sz="4" w:space="0"/>
            </w:tcBorders>
            <w:shd w:val="clear" w:color="FFFFFF" w:fill="FFFFFF"/>
            <w:vAlign w:val="center"/>
          </w:tcPr>
          <w:p w14:paraId="28E1B9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50</w:t>
            </w:r>
          </w:p>
        </w:tc>
        <w:tc>
          <w:tcPr>
            <w:tcW w:w="867" w:type="dxa"/>
            <w:tcBorders>
              <w:left w:val="single" w:color="000000" w:sz="4" w:space="0"/>
              <w:bottom w:val="single" w:color="000000" w:sz="4" w:space="0"/>
              <w:right w:val="single" w:color="000000" w:sz="4" w:space="0"/>
            </w:tcBorders>
            <w:shd w:val="clear" w:color="FFFFFF" w:fill="FFFFFF"/>
            <w:vAlign w:val="center"/>
          </w:tcPr>
          <w:p w14:paraId="725FC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100</w:t>
            </w:r>
          </w:p>
        </w:tc>
        <w:tc>
          <w:tcPr>
            <w:tcW w:w="611" w:type="dxa"/>
            <w:tcBorders>
              <w:left w:val="single" w:color="000000" w:sz="4" w:space="0"/>
              <w:bottom w:val="single" w:color="000000" w:sz="4" w:space="0"/>
              <w:right w:val="single" w:color="000000" w:sz="4" w:space="0"/>
            </w:tcBorders>
            <w:shd w:val="clear" w:color="FFFFFF" w:fill="FFFFFF"/>
            <w:vAlign w:val="center"/>
          </w:tcPr>
          <w:p w14:paraId="5D0E26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83A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5E6F0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09" w:type="dxa"/>
            <w:tcBorders>
              <w:left w:val="single" w:color="000000" w:sz="4" w:space="0"/>
              <w:bottom w:val="single" w:color="000000" w:sz="4" w:space="0"/>
              <w:right w:val="single" w:color="000000" w:sz="4" w:space="0"/>
            </w:tcBorders>
            <w:shd w:val="clear" w:color="FFFFFF" w:fill="FFFFFF"/>
            <w:vAlign w:val="top"/>
          </w:tcPr>
          <w:p w14:paraId="0F9E3C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C62D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41" w:type="dxa"/>
            <w:tcBorders>
              <w:left w:val="single" w:color="000000" w:sz="4" w:space="0"/>
              <w:bottom w:val="single" w:color="000000" w:sz="4" w:space="0"/>
              <w:right w:val="single" w:color="000000" w:sz="4" w:space="0"/>
            </w:tcBorders>
            <w:shd w:val="clear" w:color="FFFFFF" w:fill="FFFFFF"/>
            <w:vAlign w:val="center"/>
          </w:tcPr>
          <w:p w14:paraId="2BC362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130</w:t>
            </w:r>
          </w:p>
        </w:tc>
        <w:tc>
          <w:tcPr>
            <w:tcW w:w="867" w:type="dxa"/>
            <w:tcBorders>
              <w:left w:val="single" w:color="000000" w:sz="4" w:space="0"/>
              <w:bottom w:val="single" w:color="000000" w:sz="4" w:space="0"/>
              <w:right w:val="single" w:color="000000" w:sz="4" w:space="0"/>
            </w:tcBorders>
            <w:shd w:val="clear" w:color="FFFFFF" w:fill="FFFFFF"/>
            <w:vAlign w:val="center"/>
          </w:tcPr>
          <w:p w14:paraId="6C882A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636" w:type="dxa"/>
            <w:tcBorders>
              <w:left w:val="single" w:color="000000" w:sz="4" w:space="0"/>
              <w:bottom w:val="single" w:color="000000" w:sz="4" w:space="0"/>
              <w:right w:val="single" w:color="000000" w:sz="4" w:space="0"/>
            </w:tcBorders>
            <w:shd w:val="clear" w:color="FFFFFF" w:fill="FFFFFF"/>
            <w:vAlign w:val="center"/>
          </w:tcPr>
          <w:p w14:paraId="612AE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45</w:t>
            </w:r>
          </w:p>
        </w:tc>
        <w:tc>
          <w:tcPr>
            <w:tcW w:w="867" w:type="dxa"/>
            <w:tcBorders>
              <w:left w:val="single" w:color="000000" w:sz="4" w:space="0"/>
              <w:bottom w:val="single" w:color="000000" w:sz="4" w:space="0"/>
              <w:right w:val="single" w:color="000000" w:sz="4" w:space="0"/>
            </w:tcBorders>
            <w:shd w:val="clear" w:color="FFFFFF" w:fill="FFFFFF"/>
            <w:vAlign w:val="center"/>
          </w:tcPr>
          <w:p w14:paraId="3B149A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5850</w:t>
            </w:r>
          </w:p>
        </w:tc>
        <w:tc>
          <w:tcPr>
            <w:tcW w:w="611" w:type="dxa"/>
            <w:tcBorders>
              <w:left w:val="single" w:color="000000" w:sz="4" w:space="0"/>
              <w:bottom w:val="single" w:color="000000" w:sz="4" w:space="0"/>
              <w:right w:val="single" w:color="000000" w:sz="4" w:space="0"/>
            </w:tcBorders>
            <w:shd w:val="clear" w:color="FFFFFF" w:fill="FFFFFF"/>
            <w:vAlign w:val="center"/>
          </w:tcPr>
          <w:p w14:paraId="31A69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699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6C2720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09" w:type="dxa"/>
            <w:tcBorders>
              <w:left w:val="single" w:color="000000" w:sz="4" w:space="0"/>
              <w:bottom w:val="single" w:color="000000" w:sz="4" w:space="0"/>
              <w:right w:val="single" w:color="000000" w:sz="4" w:space="0"/>
            </w:tcBorders>
            <w:shd w:val="clear" w:color="FFFFFF" w:fill="FFFFFF"/>
            <w:vAlign w:val="top"/>
          </w:tcPr>
          <w:p w14:paraId="3E2D307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BDF3461">
            <w:pPr>
              <w:bidi w:val="0"/>
              <w:jc w:val="left"/>
              <w:rPr>
                <w:rFonts w:hint="default" w:ascii="Times New Roman" w:hAnsi="Times New Roman" w:eastAsia="宋体" w:cs="Times New Roman"/>
                <w:kern w:val="2"/>
                <w:sz w:val="21"/>
                <w:lang w:val="en-US" w:eastAsia="zh-CN" w:bidi="ar-SA"/>
              </w:rPr>
            </w:pPr>
            <w:r>
              <w:rPr>
                <w:rFonts w:hint="eastAsia"/>
                <w:lang w:val="en-US" w:eastAsia="zh-CN"/>
              </w:rPr>
              <w:t>门口墙角维修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93D06">
            <w:pPr>
              <w:keepNext w:val="0"/>
              <w:keepLines w:val="0"/>
              <w:widowControl/>
              <w:suppressLineNumbers w:val="0"/>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41" w:type="dxa"/>
            <w:tcBorders>
              <w:left w:val="single" w:color="000000" w:sz="4" w:space="0"/>
              <w:bottom w:val="single" w:color="000000" w:sz="4" w:space="0"/>
              <w:right w:val="single" w:color="000000" w:sz="4" w:space="0"/>
            </w:tcBorders>
            <w:shd w:val="clear" w:color="FFFFFF" w:fill="FFFFFF"/>
            <w:vAlign w:val="center"/>
          </w:tcPr>
          <w:p w14:paraId="6DE142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67" w:type="dxa"/>
            <w:tcBorders>
              <w:left w:val="single" w:color="000000" w:sz="4" w:space="0"/>
              <w:bottom w:val="single" w:color="000000" w:sz="4" w:space="0"/>
              <w:right w:val="single" w:color="000000" w:sz="4" w:space="0"/>
            </w:tcBorders>
            <w:shd w:val="clear" w:color="FFFFFF" w:fill="FFFFFF"/>
            <w:vAlign w:val="center"/>
          </w:tcPr>
          <w:p w14:paraId="153FB4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636" w:type="dxa"/>
            <w:tcBorders>
              <w:left w:val="single" w:color="000000" w:sz="4" w:space="0"/>
              <w:bottom w:val="single" w:color="000000" w:sz="4" w:space="0"/>
              <w:right w:val="single" w:color="000000" w:sz="4" w:space="0"/>
            </w:tcBorders>
            <w:shd w:val="clear" w:color="FFFFFF" w:fill="FFFFFF"/>
            <w:vAlign w:val="center"/>
          </w:tcPr>
          <w:p w14:paraId="20921D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90</w:t>
            </w:r>
          </w:p>
        </w:tc>
        <w:tc>
          <w:tcPr>
            <w:tcW w:w="867" w:type="dxa"/>
            <w:tcBorders>
              <w:left w:val="single" w:color="000000" w:sz="4" w:space="0"/>
              <w:bottom w:val="single" w:color="000000" w:sz="4" w:space="0"/>
              <w:right w:val="single" w:color="000000" w:sz="4" w:space="0"/>
            </w:tcBorders>
            <w:shd w:val="clear" w:color="FFFFFF" w:fill="FFFFFF"/>
            <w:vAlign w:val="center"/>
          </w:tcPr>
          <w:p w14:paraId="20F142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360</w:t>
            </w:r>
          </w:p>
        </w:tc>
        <w:tc>
          <w:tcPr>
            <w:tcW w:w="611" w:type="dxa"/>
            <w:tcBorders>
              <w:left w:val="single" w:color="000000" w:sz="4" w:space="0"/>
              <w:bottom w:val="single" w:color="000000" w:sz="4" w:space="0"/>
              <w:right w:val="single" w:color="000000" w:sz="4" w:space="0"/>
            </w:tcBorders>
            <w:shd w:val="clear" w:color="FFFFFF" w:fill="FFFFFF"/>
            <w:vAlign w:val="center"/>
          </w:tcPr>
          <w:p w14:paraId="3ABA97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120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42AA13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809" w:type="dxa"/>
            <w:tcBorders>
              <w:left w:val="single" w:color="000000" w:sz="4" w:space="0"/>
              <w:bottom w:val="single" w:color="000000" w:sz="4" w:space="0"/>
              <w:right w:val="single" w:color="000000" w:sz="4" w:space="0"/>
            </w:tcBorders>
            <w:shd w:val="clear" w:color="FFFFFF" w:fill="FFFFFF"/>
            <w:vAlign w:val="top"/>
          </w:tcPr>
          <w:p w14:paraId="37376B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门窗维修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EAC5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南门岗值班室铝合金窗年久失修，需更换窗户五金件、密封胶条</w:t>
            </w:r>
            <w:r>
              <w:rPr>
                <w:rFonts w:hint="eastAsia" w:ascii="宋体" w:hAnsi="宋体" w:eastAsia="宋体" w:cs="宋体"/>
                <w:szCs w:val="21"/>
                <w:lang w:eastAsia="zh-CN"/>
              </w:rPr>
              <w:t>，</w:t>
            </w:r>
            <w:r>
              <w:rPr>
                <w:rFonts w:hint="eastAsia" w:ascii="宋体" w:hAnsi="宋体" w:eastAsia="宋体" w:cs="宋体"/>
                <w:szCs w:val="21"/>
              </w:rPr>
              <w:t>恢复窗户正常开关及密封性能。</w:t>
            </w:r>
          </w:p>
        </w:tc>
        <w:tc>
          <w:tcPr>
            <w:tcW w:w="841" w:type="dxa"/>
            <w:tcBorders>
              <w:left w:val="single" w:color="000000" w:sz="4" w:space="0"/>
              <w:bottom w:val="single" w:color="000000" w:sz="4" w:space="0"/>
              <w:right w:val="single" w:color="000000" w:sz="4" w:space="0"/>
            </w:tcBorders>
            <w:shd w:val="clear" w:color="FFFFFF" w:fill="FFFFFF"/>
            <w:vAlign w:val="center"/>
          </w:tcPr>
          <w:p w14:paraId="6E9E39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w:t>
            </w:r>
          </w:p>
        </w:tc>
        <w:tc>
          <w:tcPr>
            <w:tcW w:w="867" w:type="dxa"/>
            <w:tcBorders>
              <w:left w:val="single" w:color="000000" w:sz="4" w:space="0"/>
              <w:bottom w:val="single" w:color="000000" w:sz="4" w:space="0"/>
              <w:right w:val="single" w:color="000000" w:sz="4" w:space="0"/>
            </w:tcBorders>
            <w:shd w:val="clear" w:color="FFFFFF" w:fill="FFFFFF"/>
            <w:vAlign w:val="center"/>
          </w:tcPr>
          <w:p w14:paraId="672375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636" w:type="dxa"/>
            <w:tcBorders>
              <w:left w:val="single" w:color="000000" w:sz="4" w:space="0"/>
              <w:bottom w:val="single" w:color="000000" w:sz="4" w:space="0"/>
              <w:right w:val="single" w:color="000000" w:sz="4" w:space="0"/>
            </w:tcBorders>
            <w:shd w:val="clear" w:color="FFFFFF" w:fill="FFFFFF"/>
            <w:vAlign w:val="center"/>
          </w:tcPr>
          <w:p w14:paraId="6149CF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200</w:t>
            </w:r>
          </w:p>
        </w:tc>
        <w:tc>
          <w:tcPr>
            <w:tcW w:w="867" w:type="dxa"/>
            <w:tcBorders>
              <w:left w:val="single" w:color="000000" w:sz="4" w:space="0"/>
              <w:bottom w:val="single" w:color="000000" w:sz="4" w:space="0"/>
              <w:right w:val="single" w:color="000000" w:sz="4" w:space="0"/>
            </w:tcBorders>
            <w:shd w:val="clear" w:color="FFFFFF" w:fill="FFFFFF"/>
            <w:vAlign w:val="center"/>
          </w:tcPr>
          <w:p w14:paraId="68E58A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400</w:t>
            </w:r>
          </w:p>
        </w:tc>
        <w:tc>
          <w:tcPr>
            <w:tcW w:w="611" w:type="dxa"/>
            <w:tcBorders>
              <w:left w:val="single" w:color="000000" w:sz="4" w:space="0"/>
              <w:bottom w:val="single" w:color="000000" w:sz="4" w:space="0"/>
              <w:right w:val="single" w:color="000000" w:sz="4" w:space="0"/>
            </w:tcBorders>
            <w:shd w:val="clear" w:color="FFFFFF" w:fill="FFFFFF"/>
            <w:vAlign w:val="center"/>
          </w:tcPr>
          <w:p w14:paraId="257FF7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13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16339.2</w:t>
            </w:r>
            <w:r>
              <w:rPr>
                <w:rFonts w:hint="eastAsia" w:ascii="宋体" w:hAnsi="宋体" w:cs="宋体"/>
                <w:b w:val="0"/>
                <w:i w:val="0"/>
                <w:iCs w:val="0"/>
                <w:color w:val="000000"/>
                <w:kern w:val="0"/>
                <w:sz w:val="21"/>
                <w:szCs w:val="21"/>
                <w:highlight w:val="none"/>
                <w:u w:val="none"/>
                <w:lang w:val="en-US" w:eastAsia="zh-CN" w:bidi="ar"/>
              </w:rPr>
              <w:t>元</w:t>
            </w:r>
          </w:p>
        </w:tc>
      </w:tr>
    </w:tbl>
    <w:p w14:paraId="72D6895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10B65D95"/>
    <w:rsid w:val="116B04A0"/>
    <w:rsid w:val="11A35481"/>
    <w:rsid w:val="11BC3C7C"/>
    <w:rsid w:val="11DA205C"/>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132036"/>
    <w:rsid w:val="1BE804D9"/>
    <w:rsid w:val="1BF852E7"/>
    <w:rsid w:val="1BFE4A94"/>
    <w:rsid w:val="1C790F1A"/>
    <w:rsid w:val="1CEB698E"/>
    <w:rsid w:val="1D3E6C48"/>
    <w:rsid w:val="1D4B2E52"/>
    <w:rsid w:val="1DA43F7B"/>
    <w:rsid w:val="1E957931"/>
    <w:rsid w:val="1F971487"/>
    <w:rsid w:val="1FC655DB"/>
    <w:rsid w:val="201725C8"/>
    <w:rsid w:val="224662E0"/>
    <w:rsid w:val="23416FFB"/>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615E1B"/>
    <w:rsid w:val="3B7B043E"/>
    <w:rsid w:val="3CA8487C"/>
    <w:rsid w:val="3CE85EE2"/>
    <w:rsid w:val="3E2B558B"/>
    <w:rsid w:val="3F1E091D"/>
    <w:rsid w:val="40044CBB"/>
    <w:rsid w:val="4033731A"/>
    <w:rsid w:val="40500A84"/>
    <w:rsid w:val="40687620"/>
    <w:rsid w:val="408378E0"/>
    <w:rsid w:val="42E45EE2"/>
    <w:rsid w:val="432936DD"/>
    <w:rsid w:val="4495237F"/>
    <w:rsid w:val="44F66730"/>
    <w:rsid w:val="45684CF6"/>
    <w:rsid w:val="457B6077"/>
    <w:rsid w:val="46633F07"/>
    <w:rsid w:val="467178FF"/>
    <w:rsid w:val="46791F9D"/>
    <w:rsid w:val="46B17416"/>
    <w:rsid w:val="47874A22"/>
    <w:rsid w:val="48A759E8"/>
    <w:rsid w:val="4A09620F"/>
    <w:rsid w:val="4A361719"/>
    <w:rsid w:val="4ACD58D4"/>
    <w:rsid w:val="4B2500E2"/>
    <w:rsid w:val="4B390BF7"/>
    <w:rsid w:val="4C0A7CBD"/>
    <w:rsid w:val="4C2400D1"/>
    <w:rsid w:val="4C376897"/>
    <w:rsid w:val="4C7D56AE"/>
    <w:rsid w:val="4D5659DD"/>
    <w:rsid w:val="4E363F79"/>
    <w:rsid w:val="4F2F6019"/>
    <w:rsid w:val="50273724"/>
    <w:rsid w:val="522310E7"/>
    <w:rsid w:val="5295731E"/>
    <w:rsid w:val="530807FB"/>
    <w:rsid w:val="535C7FA9"/>
    <w:rsid w:val="53F046E7"/>
    <w:rsid w:val="54D87DBE"/>
    <w:rsid w:val="550A27F2"/>
    <w:rsid w:val="55C174B0"/>
    <w:rsid w:val="569F1AF1"/>
    <w:rsid w:val="56C97471"/>
    <w:rsid w:val="57034731"/>
    <w:rsid w:val="57761E1C"/>
    <w:rsid w:val="59514339"/>
    <w:rsid w:val="5AB30825"/>
    <w:rsid w:val="5B092532"/>
    <w:rsid w:val="5C9A78E6"/>
    <w:rsid w:val="5CDA6C77"/>
    <w:rsid w:val="5D7A3273"/>
    <w:rsid w:val="5E5166CA"/>
    <w:rsid w:val="5F2711D9"/>
    <w:rsid w:val="5F6B569F"/>
    <w:rsid w:val="60C90690"/>
    <w:rsid w:val="616C351D"/>
    <w:rsid w:val="616E7593"/>
    <w:rsid w:val="61B74AB7"/>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B32024"/>
    <w:rsid w:val="7A0E0DD8"/>
    <w:rsid w:val="7AAF3F63"/>
    <w:rsid w:val="7ACD0A2E"/>
    <w:rsid w:val="7B0B6013"/>
    <w:rsid w:val="7B7F5C3B"/>
    <w:rsid w:val="7BE43DE5"/>
    <w:rsid w:val="7BF11DCA"/>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2369</Words>
  <Characters>2606</Characters>
  <Lines>17</Lines>
  <Paragraphs>4</Paragraphs>
  <TotalTime>10</TotalTime>
  <ScaleCrop>false</ScaleCrop>
  <LinksUpToDate>false</LinksUpToDate>
  <CharactersWithSpaces>2671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2025-12-22T00:52:11Z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A372C63CD46F4CADA2C7B9E667007B85_13</vt:lpwstr>
  </property>
  <property fmtid="{D5CDD505-2E9C-101B-9397-08002B2CF9AE}" pid="4" name="KSOTemplateDocerSaveRecord">
    <vt:lpwstr>eyJoZGlkIjoiOWQyYzExZDg3YjA4YWM5NmYxOGZkMDlmMDBlNTU4N2IiLCJ1c2VySWQiOiIzMjk2MjQ3ODIifQ==</vt:lpwstr>
  </property>
</Properties>
</file>