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聊城市技师学院勤业楼、后勤楼乳胶漆涂刷采购项目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bookmarkStart w:id="4" w:name="_GoBack"/>
      <w:r>
        <w:rPr>
          <w:rFonts w:hint="eastAsia" w:ascii="黑体" w:hAnsi="黑体" w:eastAsia="黑体"/>
          <w:b/>
          <w:bCs/>
          <w:color w:val="000000"/>
          <w:sz w:val="31"/>
          <w:szCs w:val="31"/>
          <w:shd w:val="clear" w:color="auto" w:fill="FFFFFF"/>
        </w:rPr>
        <w:t>聊城市技师学院勤业楼、后勤楼乳胶漆涂刷采购项目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二、项目名称：聊城市技师学院勤业楼、后勤楼乳胶漆涂刷采购项目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个包：聊城市技师学院勤业楼、后勤楼乳胶漆涂刷采购项目，详见项目说明。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3年8月14日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3年8月15日09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3年8月15日09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8月10日</w:t>
      </w:r>
      <w:bookmarkEnd w:id="0"/>
    </w:p>
    <w:bookmarkEnd w:id="4"/>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聊城市技师学院勤业楼、后勤楼乳胶漆涂刷采购项目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聊城市技师学院勤业楼、后勤楼乳胶漆涂刷采购项目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接甲方开工通知，15日历天完工。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3年8月14日（北京时间），每日上午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6240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2023年8月15日09时00分（北京时间）。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2023年8月15日09时00分（北京时间）。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p>
        </w:tc>
        <w:tc>
          <w:tcPr>
            <w:tcW w:w="765" w:type="dxa"/>
            <w:vAlign w:val="center"/>
          </w:tcPr>
          <w:p>
            <w:pPr>
              <w:jc w:val="center"/>
              <w:rPr>
                <w:sz w:val="28"/>
                <w:szCs w:val="28"/>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jc w:val="center"/>
        <w:rPr>
          <w:rFonts w:ascii="宋体" w:hAnsi="宋体"/>
          <w:sz w:val="24"/>
        </w:rPr>
      </w:pPr>
      <w:r>
        <w:rPr>
          <w:rFonts w:hint="eastAsia" w:ascii="宋体" w:hAnsi="宋体"/>
          <w:sz w:val="24"/>
        </w:rPr>
        <w:t>勤业楼、后勤楼乳胶漆涂刷要求：</w:t>
      </w:r>
    </w:p>
    <w:p>
      <w:pPr>
        <w:jc w:val="center"/>
        <w:rPr>
          <w:rFonts w:ascii="宋体" w:hAnsi="宋体"/>
          <w:sz w:val="24"/>
        </w:rPr>
      </w:pPr>
      <w:r>
        <w:rPr>
          <w:rFonts w:hint="eastAsia" w:ascii="宋体" w:hAnsi="宋体"/>
          <w:sz w:val="24"/>
        </w:rPr>
        <w:t>1.清除墙面起鼓俏皮 腻子找平刷漆两遍，垃圾清运出校园，卫生达到甲方满意。</w:t>
      </w:r>
    </w:p>
    <w:p>
      <w:pPr>
        <w:ind w:firstLine="600" w:firstLineChars="250"/>
        <w:rPr>
          <w:rFonts w:ascii="宋体" w:hAnsi="宋体"/>
          <w:sz w:val="24"/>
        </w:rPr>
      </w:pPr>
      <w:r>
        <w:rPr>
          <w:rFonts w:hint="eastAsia" w:ascii="宋体" w:hAnsi="宋体"/>
          <w:sz w:val="24"/>
        </w:rPr>
        <w:t>2.垃圾清运出校园，卫生达到甲方满意。</w:t>
      </w:r>
    </w:p>
    <w:p>
      <w:pPr>
        <w:pStyle w:val="257"/>
        <w:tabs>
          <w:tab w:val="left" w:pos="0"/>
          <w:tab w:val="left" w:pos="180"/>
          <w:tab w:val="left" w:pos="360"/>
        </w:tabs>
        <w:spacing w:line="276" w:lineRule="auto"/>
        <w:ind w:firstLine="720" w:firstLineChars="300"/>
        <w:rPr>
          <w:b/>
          <w:color w:val="000000"/>
          <w:sz w:val="44"/>
        </w:rPr>
      </w:pPr>
      <w:r>
        <w:rPr>
          <w:rFonts w:hint="eastAsia" w:ascii="宋体" w:hAnsi="宋体"/>
          <w:sz w:val="24"/>
        </w:rPr>
        <w:t>3.施工过程中出现的一切安全事故，安全责任均由施工方承担。</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r>
              <w:rPr>
                <w:rFonts w:hint="eastAsia" w:ascii="宋体" w:hAnsi="宋体"/>
                <w:szCs w:val="21"/>
              </w:rPr>
              <w:t>12</w:t>
            </w:r>
          </w:p>
        </w:tc>
        <w:tc>
          <w:tcPr>
            <w:tcW w:w="1572" w:type="dxa"/>
            <w:vAlign w:val="center"/>
          </w:tcPr>
          <w:p>
            <w:pPr>
              <w:jc w:val="center"/>
              <w:rPr>
                <w:rFonts w:ascii="宋体" w:hAnsi="宋体"/>
                <w:szCs w:val="21"/>
              </w:rPr>
            </w:pPr>
            <w:r>
              <w:rPr>
                <w:rFonts w:hint="eastAsia" w:ascii="宋体" w:hAnsi="宋体"/>
                <w:szCs w:val="21"/>
              </w:rPr>
              <w:t>480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r>
              <w:rPr>
                <w:rFonts w:hint="eastAsia" w:ascii="宋体" w:hAnsi="宋体"/>
                <w:szCs w:val="21"/>
              </w:rPr>
              <w:t>3120</w:t>
            </w:r>
          </w:p>
        </w:tc>
        <w:tc>
          <w:tcPr>
            <w:tcW w:w="1572" w:type="dxa"/>
            <w:vAlign w:val="center"/>
          </w:tcPr>
          <w:p>
            <w:pPr>
              <w:jc w:val="center"/>
              <w:rPr>
                <w:rFonts w:ascii="宋体" w:hAnsi="宋体"/>
                <w:szCs w:val="21"/>
              </w:rPr>
            </w:pPr>
            <w:r>
              <w:rPr>
                <w:rFonts w:hint="eastAsia" w:ascii="宋体" w:hAnsi="宋体"/>
                <w:szCs w:val="21"/>
              </w:rPr>
              <w:t>3120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r>
              <w:rPr>
                <w:rFonts w:hint="eastAsia" w:ascii="宋体" w:hAnsi="宋体"/>
                <w:szCs w:val="21"/>
              </w:rPr>
              <w:t>110</w:t>
            </w:r>
          </w:p>
        </w:tc>
        <w:tc>
          <w:tcPr>
            <w:tcW w:w="1572" w:type="dxa"/>
            <w:vAlign w:val="center"/>
          </w:tcPr>
          <w:p>
            <w:pPr>
              <w:jc w:val="center"/>
              <w:rPr>
                <w:rFonts w:ascii="宋体" w:hAnsi="宋体"/>
                <w:szCs w:val="21"/>
              </w:rPr>
            </w:pPr>
            <w:r>
              <w:rPr>
                <w:rFonts w:hint="eastAsia" w:ascii="宋体" w:hAnsi="宋体"/>
                <w:szCs w:val="21"/>
              </w:rPr>
              <w:t>2640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jc w:val="center"/>
              <w:rPr>
                <w:rFonts w:ascii="宋体" w:hAnsi="宋体"/>
                <w:szCs w:val="21"/>
              </w:rPr>
            </w:pP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p>
        </w:tc>
        <w:tc>
          <w:tcPr>
            <w:tcW w:w="1215" w:type="dxa"/>
            <w:vAlign w:val="center"/>
          </w:tcPr>
          <w:p>
            <w:pPr>
              <w:jc w:val="center"/>
              <w:rPr>
                <w:rFonts w:ascii="宋体" w:hAnsi="宋体"/>
                <w:szCs w:val="21"/>
              </w:rPr>
            </w:pP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r>
              <w:rPr>
                <w:rFonts w:hint="eastAsia"/>
                <w:szCs w:val="21"/>
              </w:rPr>
              <w:t>6240</w:t>
            </w:r>
          </w:p>
        </w:tc>
        <w:tc>
          <w:tcPr>
            <w:tcW w:w="765" w:type="dxa"/>
            <w:vAlign w:val="center"/>
          </w:tcPr>
          <w:p>
            <w:pPr>
              <w:jc w:val="center"/>
              <w:rPr>
                <w:sz w:val="28"/>
                <w:szCs w:val="28"/>
              </w:rPr>
            </w:pPr>
          </w:p>
        </w:tc>
      </w:tr>
    </w:tbl>
    <w:p>
      <w:pPr>
        <w:ind w:firstLine="482" w:firstLineChars="200"/>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4.开工日期以甲方通知为准。</w:t>
      </w:r>
    </w:p>
    <w:p>
      <w:pPr>
        <w:pStyle w:val="2"/>
        <w:ind w:left="480" w:firstLine="482"/>
      </w:pPr>
      <w:r>
        <w:rPr>
          <w:rFonts w:hint="eastAsia" w:ascii="宋体" w:hAnsi="宋体"/>
          <w:b/>
          <w:kern w:val="2"/>
          <w:sz w:val="24"/>
          <w:szCs w:val="24"/>
        </w:rPr>
        <w:t>5.可勘察现场，联系人于老师：15615153369</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26C3"/>
    <w:rsid w:val="001175D0"/>
    <w:rsid w:val="00122CE9"/>
    <w:rsid w:val="00134C50"/>
    <w:rsid w:val="001554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C4C1D"/>
    <w:rsid w:val="006E4062"/>
    <w:rsid w:val="006E6647"/>
    <w:rsid w:val="007257AD"/>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A177D8"/>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45004"/>
    <w:rsid w:val="00E7382A"/>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74F283A"/>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2150</Words>
  <Characters>2369</Characters>
  <Lines>19</Lines>
  <Paragraphs>5</Paragraphs>
  <TotalTime>12</TotalTime>
  <ScaleCrop>false</ScaleCrop>
  <LinksUpToDate>false</LinksUpToDate>
  <CharactersWithSpaces>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微尘</cp:lastModifiedBy>
  <cp:lastPrinted>2019-10-30T14:07:00Z</cp:lastPrinted>
  <dcterms:modified xsi:type="dcterms:W3CDTF">2023-08-10T01:56:16Z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361A75BE4EEE40A7BD64BD7768C88805_13</vt:lpwstr>
  </property>
</Properties>
</file>