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聊城市技师学院学院智能化供水系统项目设计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18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聊城市技师学院学院智能化供水系统项目设计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  <w:bookmarkStart w:id="2" w:name="_GoBack"/>
      <w:bookmarkEnd w:id="2"/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二、项目名称：聊城市技师学院学院智能化供水系统项目设计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个包：聊城市技师学院学院智能化供水系统项目设计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聊城市技师学院学院智能化供水系统项目设计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本项目共一个标段，主要内容为聊城市技师学院学院智能化供水系统项目设计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具备中华人民共和国合法营业执照及相应的经营范围；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2）供应商应具有工程设计建筑行业（建筑工程）甲级、工程设计市政行业给水工程专业丙级及以上资质；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3）供应商应在人员、设备等方面具有相应的能力，具备一级注册建筑师不少于4名，注册公用设备工程师（给水排水）不少于2名，注册电气工程师（供配电）不少于2名，且以上人员应在四库一平台可查，其中拟派的项目负责人应具备注册公用设备工程师（给水排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接甲方通知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15天内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完成，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每延迟 1 日支付 200 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依据报价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检测完成后一次性付清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363"/>
        <w:gridCol w:w="1228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计量单位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聊城市技师学院学院智能化供水系统项目设计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20" w:firstLineChars="100"/>
              <w:jc w:val="both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1.设计要求：设计方案应节能减排、降低供水管网漏损率，提高学校供水运行控制能力和管网运行效率，加快智慧学校建设，实现供水管网智慧化，精细化管理目标，更好的保障供水安全。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2、供应商资格要求：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具备中华人民共和国合法营业执照及相应的经营范围；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2）供应商应具有工程设计建筑行业（建筑工程）甲级、工程设计市政行业给水工程专业丙级及以上资质；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sz w:val="24"/>
          <w:szCs w:val="24"/>
        </w:rPr>
        <w:t>（3）供应商应在人员、设备等方面具有相应的能力，具备一级注册建筑师不少于4名，注册公用设备工程师（给水排水）不少于2名，注册电气工程师（供配电）不少于2名，且以上人员应在四库一平台可查，其中拟派的项目负责人应具备注册公用设备工程师（给水排水）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78"/>
        <w:gridCol w:w="1085"/>
        <w:gridCol w:w="1119"/>
        <w:gridCol w:w="1339"/>
        <w:gridCol w:w="1184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需求数量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聊城市技师学院学院智能化供水系统项目设计采购项目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58"/>
              <w:tabs>
                <w:tab w:val="left" w:pos="0"/>
                <w:tab w:val="left" w:pos="180"/>
                <w:tab w:val="left" w:pos="360"/>
              </w:tabs>
              <w:spacing w:line="276" w:lineRule="auto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设计方案应节能减排、降低供水管网漏损率，提高学校供水运行控制能力和管网运行效率，加快智慧学校建设，实现供水管网智慧化，精细化管理目标，更好的保障供水安全。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30000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47D659E1"/>
    <w:multiLevelType w:val="singleLevel"/>
    <w:tmpl w:val="47D659E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3F083C"/>
    <w:rsid w:val="01E14866"/>
    <w:rsid w:val="0255489B"/>
    <w:rsid w:val="05241F07"/>
    <w:rsid w:val="054E7908"/>
    <w:rsid w:val="05C55124"/>
    <w:rsid w:val="07B922C3"/>
    <w:rsid w:val="08BF7794"/>
    <w:rsid w:val="09D27438"/>
    <w:rsid w:val="0D9378B6"/>
    <w:rsid w:val="0DDE5050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E1856FC"/>
    <w:rsid w:val="23994FAD"/>
    <w:rsid w:val="249917FE"/>
    <w:rsid w:val="262B023E"/>
    <w:rsid w:val="296D55D3"/>
    <w:rsid w:val="300F0BC6"/>
    <w:rsid w:val="30507EBF"/>
    <w:rsid w:val="31D41ACA"/>
    <w:rsid w:val="35BE2E72"/>
    <w:rsid w:val="3B7B043E"/>
    <w:rsid w:val="3F1E091D"/>
    <w:rsid w:val="432936DD"/>
    <w:rsid w:val="45684CF6"/>
    <w:rsid w:val="46791F9D"/>
    <w:rsid w:val="46B17416"/>
    <w:rsid w:val="48A759E8"/>
    <w:rsid w:val="4B2500E2"/>
    <w:rsid w:val="4B390BF7"/>
    <w:rsid w:val="4C7D56AE"/>
    <w:rsid w:val="530807FB"/>
    <w:rsid w:val="569F1AF1"/>
    <w:rsid w:val="5AB30825"/>
    <w:rsid w:val="5B092532"/>
    <w:rsid w:val="616C351D"/>
    <w:rsid w:val="616E7593"/>
    <w:rsid w:val="61B74AB7"/>
    <w:rsid w:val="68A5389A"/>
    <w:rsid w:val="6E520E33"/>
    <w:rsid w:val="70B2141E"/>
    <w:rsid w:val="72EB0EF9"/>
    <w:rsid w:val="73CB7283"/>
    <w:rsid w:val="73D437A5"/>
    <w:rsid w:val="74EB4E25"/>
    <w:rsid w:val="76C23869"/>
    <w:rsid w:val="785106F5"/>
    <w:rsid w:val="789C02D6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367</Words>
  <Characters>2095</Characters>
  <Lines>17</Lines>
  <Paragraphs>4</Paragraphs>
  <TotalTime>4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2024-04-26T03:56:42Z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96FD2CF682E740F5A8A3E9F4F568D4E2_13</vt:lpwstr>
  </property>
</Properties>
</file>