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FAD06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1DE6CD8E">
      <w:pPr>
        <w:adjustRightInd w:val="0"/>
        <w:snapToGrid w:val="0"/>
        <w:spacing w:line="480" w:lineRule="auto"/>
        <w:jc w:val="center"/>
        <w:rPr>
          <w:rFonts w:hint="default" w:ascii="宋体" w:hAnsi="宋体"/>
          <w:b/>
          <w:bCs/>
          <w:sz w:val="28"/>
          <w:szCs w:val="28"/>
          <w:highlight w:val="none"/>
          <w:lang w:val="en-US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聊城市技师学院中央空调液晶温控器控制面板更换采购项目</w:t>
      </w:r>
    </w:p>
    <w:p w14:paraId="5087435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55AF285F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1A85E9A">
      <w:pPr>
        <w:pStyle w:val="6"/>
        <w:ind w:firstLine="3423" w:firstLineChars="1100"/>
        <w:rPr>
          <w:rFonts w:hint="default" w:ascii="黑体" w:hAnsi="黑体" w:eastAsia="黑体"/>
          <w:b/>
          <w:bCs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编号：JYTP2024-0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31</w:t>
      </w:r>
    </w:p>
    <w:p w14:paraId="31863B5D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04B2908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55B6A5B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872E924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2FE8B454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0F170AA0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A0E6F30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68FE297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2E69A8FD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1415FD9C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二四年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七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F9C5699"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  <w:highlight w:val="none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聊城市技师学院中央空调液晶温控器控制面板更换采购项目</w:t>
      </w:r>
    </w:p>
    <w:p w14:paraId="4A354C2D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07999537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30D4B3D5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010D638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2C88671B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联系电话：（0635）8503176</w:t>
      </w:r>
    </w:p>
    <w:p w14:paraId="20C471C4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聊城市技师学院中央空调液晶温控器控制面板更换采购项目</w:t>
      </w:r>
    </w:p>
    <w:p w14:paraId="4833858A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7240D983"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聊城市技师学院中央空调液晶温控器控制面板更换采购项目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732D169B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3E88B5D6"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45D03766"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B5C0883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458EAD91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/>
          <w:sz w:val="24"/>
          <w:szCs w:val="24"/>
          <w:highlight w:val="none"/>
        </w:rPr>
        <w:t>日-2024年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</w:rPr>
        <w:t>30</w:t>
      </w:r>
      <w:r>
        <w:rPr>
          <w:rFonts w:ascii="宋体" w:hAnsi="宋体"/>
          <w:sz w:val="24"/>
          <w:szCs w:val="24"/>
          <w:highlight w:val="none"/>
        </w:rPr>
        <w:t>-1</w:t>
      </w:r>
      <w:r>
        <w:rPr>
          <w:rFonts w:hint="eastAsia" w:ascii="宋体" w:hAnsi="宋体"/>
          <w:sz w:val="24"/>
          <w:szCs w:val="24"/>
          <w:highlight w:val="none"/>
        </w:rPr>
        <w:t>1</w:t>
      </w:r>
      <w:r>
        <w:rPr>
          <w:rFonts w:ascii="宋体" w:hAnsi="宋体"/>
          <w:sz w:val="24"/>
          <w:szCs w:val="24"/>
          <w:highlight w:val="none"/>
        </w:rPr>
        <w:t>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</w:rPr>
        <w:t>30（北京时间）</w:t>
      </w:r>
    </w:p>
    <w:p w14:paraId="3B05664B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报名方式：有意投标的投标人请在2024年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highlight w:val="none"/>
        </w:rPr>
        <w:t>日下午17：30前发送单位名称、联系人、联系电话及项目名称和项目编号到lcsjsxyzbb@lc.shandong.cn邮箱中，并在邮件标题中注明“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聊城市技师学院中央空调液晶温控器控制面板更换采购项目</w:t>
      </w:r>
      <w:r>
        <w:rPr>
          <w:rFonts w:hint="eastAsia" w:ascii="宋体" w:hAnsi="宋体"/>
          <w:sz w:val="24"/>
          <w:szCs w:val="24"/>
          <w:highlight w:val="none"/>
        </w:rPr>
        <w:t>”，凡未按要求报名者学院不接受其投标。</w:t>
      </w:r>
    </w:p>
    <w:p w14:paraId="55DAA07C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咨询电话：（0635）8503176</w:t>
      </w:r>
    </w:p>
    <w:p w14:paraId="0E463977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咨询地点：聊城市技师学院汇智楼A401会议室</w:t>
      </w:r>
    </w:p>
    <w:p w14:paraId="641053A8"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362A3AA9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54E5CAA1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</w:t>
      </w:r>
      <w:r>
        <w:rPr>
          <w:rFonts w:ascii="宋体" w:hAnsi="宋体"/>
          <w:sz w:val="24"/>
          <w:szCs w:val="24"/>
          <w:highlight w:val="none"/>
        </w:rPr>
        <w:t>A401</w:t>
      </w:r>
      <w:r>
        <w:rPr>
          <w:rFonts w:hint="eastAsia" w:ascii="宋体" w:hAnsi="宋体"/>
          <w:sz w:val="24"/>
          <w:szCs w:val="24"/>
          <w:highlight w:val="none"/>
        </w:rPr>
        <w:t>室</w:t>
      </w:r>
    </w:p>
    <w:p w14:paraId="4FAA8EF3">
      <w:pPr>
        <w:adjustRightInd w:val="0"/>
        <w:snapToGrid w:val="0"/>
        <w:spacing w:line="408" w:lineRule="auto"/>
        <w:ind w:left="9840" w:hanging="9840" w:hangingChars="4100"/>
        <w:jc w:val="left"/>
        <w:rPr>
          <w:rFonts w:hint="eastAsia" w:ascii="宋体" w:eastAsia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九、此公告在聊城市技师学院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官网及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财务处网站中公示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。</w:t>
      </w:r>
    </w:p>
    <w:p w14:paraId="441865C4"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</w:rPr>
        <w:t>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0E318C98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361D3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196B56CA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29F685F6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60E2884E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规　　　　定</w:t>
            </w:r>
          </w:p>
        </w:tc>
      </w:tr>
      <w:tr w14:paraId="4ECD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B61091F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6286F31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74836163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聊城市技师学院中央空调液晶温控器控制面板更换采购项目</w:t>
            </w:r>
          </w:p>
        </w:tc>
      </w:tr>
      <w:tr w14:paraId="2A8E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55F506E6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205FD6A5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3D3DBD1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2B94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6B1024D6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65BF220B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7E244B1A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聊城市技师学院中央空调液晶温控器控制面板更换采购项目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。</w:t>
            </w:r>
          </w:p>
        </w:tc>
      </w:tr>
      <w:tr w14:paraId="5EBDA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000FCB1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1A06D797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25A99A3D"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 w14:paraId="12084F29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0BC29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C90A04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 w14:paraId="61BFCA5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53CAB23F"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30000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元</w:t>
            </w:r>
          </w:p>
        </w:tc>
      </w:tr>
      <w:tr w14:paraId="127FA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20048B3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 w14:paraId="7A2E7CA6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210D9F2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 w14:paraId="4E8B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0EF43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03F6DD4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43848C10">
            <w:pPr>
              <w:pStyle w:val="3"/>
              <w:spacing w:line="360" w:lineRule="auto"/>
              <w:ind w:left="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 w14:paraId="1B685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55EAF7A2">
            <w:pPr>
              <w:pStyle w:val="11"/>
              <w:spacing w:line="276" w:lineRule="auto"/>
              <w:jc w:val="both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709" w:type="dxa"/>
            <w:vAlign w:val="center"/>
          </w:tcPr>
          <w:p w14:paraId="05E754FD">
            <w:pPr>
              <w:pStyle w:val="11"/>
              <w:spacing w:line="276" w:lineRule="auto"/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服务要求</w:t>
            </w:r>
          </w:p>
        </w:tc>
        <w:tc>
          <w:tcPr>
            <w:tcW w:w="8127" w:type="dxa"/>
            <w:vAlign w:val="center"/>
          </w:tcPr>
          <w:p w14:paraId="5F534863">
            <w:pPr>
              <w:pStyle w:val="11"/>
              <w:spacing w:line="276" w:lineRule="auto"/>
              <w:jc w:val="both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接甲方通知15天内完成，每延迟1日支付200元违约金。</w:t>
            </w:r>
          </w:p>
        </w:tc>
      </w:tr>
      <w:tr w14:paraId="694E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84ED9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0DB96BC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37650EED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单价据实</w:t>
            </w:r>
            <w:r>
              <w:rPr>
                <w:rFonts w:hint="eastAsia" w:ascii="宋体" w:hAnsi="宋体"/>
                <w:sz w:val="24"/>
                <w:szCs w:val="24"/>
              </w:rPr>
              <w:t>结算。</w:t>
            </w:r>
          </w:p>
        </w:tc>
      </w:tr>
      <w:tr w14:paraId="078D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AC29A67">
            <w:pPr>
              <w:spacing w:line="276" w:lineRule="auto"/>
              <w:rPr>
                <w:rFonts w:ascii="宋体" w:hAnsi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709" w:type="dxa"/>
            <w:vAlign w:val="center"/>
          </w:tcPr>
          <w:p w14:paraId="0F067519"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76CA7D5">
            <w:pPr>
              <w:pStyle w:val="11"/>
              <w:spacing w:line="276" w:lineRule="auto"/>
              <w:jc w:val="both"/>
              <w:rPr>
                <w:rFonts w:ascii="宋体" w:hAnsi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供货完毕待验收完成无质量问题后一次性付清款项。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（依据财政实际拨款情况，进行支付）</w:t>
            </w:r>
          </w:p>
        </w:tc>
      </w:tr>
      <w:tr w14:paraId="21CF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44CCCF3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 w14:paraId="73199E0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174E974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4"/>
                <w:szCs w:val="24"/>
              </w:rPr>
              <w:t>日-2024年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 w14:paraId="3810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4AD1783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4BCD07A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5ED06392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财政性资金，控制总价：</w:t>
            </w:r>
            <w:r>
              <w:rPr>
                <w:rFonts w:hint="eastAsia" w:ascii="宋体" w:hAnsi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30000</w:t>
            </w:r>
            <w:r>
              <w:rPr>
                <w:rFonts w:hint="eastAsia" w:ascii="宋体" w:hAnsi="宋体"/>
                <w:sz w:val="24"/>
                <w:szCs w:val="24"/>
              </w:rPr>
              <w:t>元，报价超过控制价为无效报价。</w:t>
            </w:r>
          </w:p>
        </w:tc>
      </w:tr>
      <w:tr w14:paraId="73E25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127EEA32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6E1CD48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72EE66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4C96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25610FF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 w14:paraId="03C95025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078467F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0703B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1BB24BA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 w14:paraId="040CCB8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65E4F46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0分（北京时间）。</w:t>
            </w:r>
          </w:p>
        </w:tc>
      </w:tr>
      <w:tr w14:paraId="0A14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396E34D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 w14:paraId="48F1D98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1BC5B05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0分（北京时间）。</w:t>
            </w:r>
          </w:p>
        </w:tc>
      </w:tr>
      <w:tr w14:paraId="4ADCD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3E16AC0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 w14:paraId="5E56018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4C97B0E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 w14:paraId="134BCE77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78AEF926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5ACBCB10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64790EB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535409BB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7B86CC55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3F7605BB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6D1DFD36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59883E92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50A21BAA">
      <w:pPr>
        <w:pStyle w:val="6"/>
        <w:ind w:firstLine="0" w:firstLineChars="0"/>
      </w:pPr>
    </w:p>
    <w:p w14:paraId="5C52AA72">
      <w:pPr>
        <w:pStyle w:val="6"/>
        <w:ind w:firstLine="0" w:firstLineChars="0"/>
      </w:pPr>
    </w:p>
    <w:p w14:paraId="58553816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35A6DF82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70EC21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A02851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66EBBF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7B0F668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4A4F5344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3F2602F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35EAD5C3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4F917C7B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1AA61DF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E6BE805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5CC8F58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C79B94B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D0228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9F41C2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5F7D34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2E31E3F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1FACE1C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0BECBE6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61CC7C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183FDB47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1C1EEEE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7F442409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4907AB91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5EF99AB5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6170971A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2B65327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3DBD0D0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7B24569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45B54318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53FAB05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5E14C1F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125135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1A3E18D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14AA4DA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3DE8E0E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374C25C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337329DA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699B76A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093D81C2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3882F4C7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5BE4B122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2374291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200F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436DE0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2DA425D3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721AD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464D065E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5FFE0AD7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D816771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3563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3DC6690D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53D2B6D7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03F6AF1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7F32D910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5CBD2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6AACBF0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007E977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59E9E8D0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6B93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416FA1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6E3E52CC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 w14:paraId="2A208B0D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17EE1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9B1C72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3EA51413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3B968367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5A3C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9108B40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455BFCDF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6014F204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771CA1CA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06A18FA4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7704AD90">
      <w:pPr>
        <w:spacing w:line="276" w:lineRule="auto"/>
        <w:rPr>
          <w:b/>
          <w:sz w:val="24"/>
        </w:rPr>
      </w:pPr>
    </w:p>
    <w:p w14:paraId="208ACF57">
      <w:pPr>
        <w:pStyle w:val="6"/>
        <w:ind w:firstLine="400"/>
      </w:pPr>
    </w:p>
    <w:p w14:paraId="705073BC">
      <w:pPr>
        <w:pStyle w:val="6"/>
        <w:ind w:firstLine="0" w:firstLineChars="0"/>
      </w:pPr>
      <w:r>
        <w:t>注：必须付分项报价表</w:t>
      </w:r>
    </w:p>
    <w:p w14:paraId="3354A2CC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B56F1A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br w:type="page"/>
      </w:r>
    </w:p>
    <w:p w14:paraId="5D131BEB">
      <w:pPr>
        <w:pStyle w:val="6"/>
        <w:ind w:firstLine="400"/>
      </w:pPr>
    </w:p>
    <w:p w14:paraId="4CAC7FD5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p w14:paraId="49C350CA">
      <w:pPr>
        <w:rPr>
          <w:b/>
          <w:bCs/>
          <w:sz w:val="32"/>
          <w:szCs w:val="32"/>
        </w:rPr>
      </w:pPr>
    </w:p>
    <w:tbl>
      <w:tblPr>
        <w:tblStyle w:val="7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1"/>
        <w:gridCol w:w="1186"/>
        <w:gridCol w:w="1159"/>
        <w:gridCol w:w="1146"/>
        <w:gridCol w:w="1080"/>
        <w:gridCol w:w="898"/>
        <w:gridCol w:w="1080"/>
      </w:tblGrid>
      <w:tr w14:paraId="28B48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D46E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聊城市技师学院中央空调液晶温控器控制面板更换采购项目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4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B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D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9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0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E6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7B77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8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C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1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84106DA">
      <w:pPr>
        <w:spacing w:line="480" w:lineRule="auto"/>
        <w:rPr>
          <w:b/>
          <w:bCs/>
          <w:sz w:val="32"/>
          <w:szCs w:val="32"/>
        </w:rPr>
      </w:pPr>
    </w:p>
    <w:p w14:paraId="0C473E7C">
      <w:r>
        <w:br w:type="page"/>
      </w:r>
    </w:p>
    <w:p w14:paraId="1C014BD3">
      <w:pPr>
        <w:pStyle w:val="12"/>
        <w:numPr>
          <w:ilvl w:val="0"/>
          <w:numId w:val="1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sz w:val="44"/>
          <w:highlight w:val="none"/>
        </w:rPr>
      </w:pPr>
      <w:r>
        <w:rPr>
          <w:rFonts w:hint="eastAsia"/>
          <w:b/>
          <w:sz w:val="44"/>
          <w:highlight w:val="none"/>
        </w:rPr>
        <w:t>项目要求：</w:t>
      </w:r>
    </w:p>
    <w:p w14:paraId="7DCA4F66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聊城市技师学院中央空调液晶温控器控制面板更换采购项目：</w:t>
      </w:r>
    </w:p>
    <w:p w14:paraId="1987534A">
      <w:pPr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产品要求：室内温度设置、手动或自动控制风机三速转换、低温保护功能、自动恒温、绝缘阻燃、智能芯片、大屏显示。</w:t>
      </w:r>
    </w:p>
    <w:p w14:paraId="069AC600">
      <w:pPr>
        <w:rPr>
          <w:rFonts w:hint="eastAsia"/>
          <w:highlight w:val="none"/>
        </w:rPr>
      </w:pPr>
      <w:r>
        <w:rPr>
          <w:rFonts w:hint="eastAsia"/>
          <w:highlight w:val="none"/>
        </w:rPr>
        <w:t>1. </w:t>
      </w:r>
      <w:r>
        <w:rPr>
          <w:rFonts w:hint="eastAsia"/>
          <w:highlight w:val="none"/>
          <w:lang w:val="en-US" w:eastAsia="zh-CN"/>
        </w:rPr>
        <w:t>电源</w:t>
      </w:r>
      <w:r>
        <w:rPr>
          <w:rFonts w:hint="eastAsia"/>
          <w:highlight w:val="none"/>
        </w:rPr>
        <w:t>电压：一般为常见的交流电压， 220V 。</w:t>
      </w:r>
    </w:p>
    <w:p w14:paraId="0A3B5B1B">
      <w:pPr>
        <w:rPr>
          <w:rFonts w:hint="eastAsia"/>
          <w:highlight w:val="none"/>
        </w:rPr>
      </w:pPr>
      <w:r>
        <w:rPr>
          <w:rFonts w:hint="eastAsia"/>
          <w:highlight w:val="none"/>
        </w:rPr>
        <w:t>2. 控制功率：明确其能够有效控制的功率范围</w:t>
      </w:r>
      <w:r>
        <w:rPr>
          <w:rFonts w:hint="eastAsia"/>
          <w:highlight w:val="none"/>
          <w:lang w:val="en-US" w:eastAsia="zh-CN"/>
        </w:rPr>
        <w:t>(小于100W)</w:t>
      </w:r>
      <w:r>
        <w:rPr>
          <w:rFonts w:hint="eastAsia"/>
          <w:highlight w:val="none"/>
        </w:rPr>
        <w:t>。</w:t>
      </w:r>
    </w:p>
    <w:p w14:paraId="2431580E">
      <w:pPr>
        <w:rPr>
          <w:rFonts w:hint="eastAsia"/>
          <w:highlight w:val="none"/>
        </w:rPr>
      </w:pPr>
      <w:r>
        <w:rPr>
          <w:rFonts w:hint="eastAsia"/>
          <w:highlight w:val="none"/>
        </w:rPr>
        <w:t>3. 调速范围：</w:t>
      </w:r>
      <w:r>
        <w:rPr>
          <w:rFonts w:hint="eastAsia"/>
          <w:highlight w:val="none"/>
          <w:lang w:eastAsia="zh-CN"/>
        </w:rPr>
        <w:t>高速、中速、低速</w:t>
      </w:r>
      <w:r>
        <w:rPr>
          <w:rFonts w:hint="eastAsia"/>
          <w:highlight w:val="none"/>
        </w:rPr>
        <w:t>。</w:t>
      </w:r>
    </w:p>
    <w:p w14:paraId="074A6C22">
      <w:pPr>
        <w:rPr>
          <w:rFonts w:hint="eastAsia"/>
          <w:highlight w:val="none"/>
        </w:rPr>
      </w:pPr>
      <w:r>
        <w:rPr>
          <w:rFonts w:hint="eastAsia"/>
          <w:highlight w:val="none"/>
        </w:rPr>
        <w:t>4. </w:t>
      </w:r>
      <w:r>
        <w:rPr>
          <w:rFonts w:hint="eastAsia"/>
          <w:highlight w:val="none"/>
          <w:lang w:val="en-US" w:eastAsia="zh-CN"/>
        </w:rPr>
        <w:t>温控</w:t>
      </w:r>
      <w:r>
        <w:rPr>
          <w:rFonts w:hint="eastAsia"/>
          <w:highlight w:val="none"/>
        </w:rPr>
        <w:t>精度：</w:t>
      </w:r>
      <w:r>
        <w:rPr>
          <w:rFonts w:hint="eastAsia"/>
          <w:highlight w:val="none"/>
          <w:lang w:eastAsia="zh-CN"/>
        </w:rPr>
        <w:t>正负</w:t>
      </w:r>
      <w:r>
        <w:rPr>
          <w:rFonts w:hint="eastAsia"/>
          <w:highlight w:val="none"/>
          <w:lang w:val="en-US" w:eastAsia="zh-CN"/>
        </w:rPr>
        <w:t>1°</w:t>
      </w:r>
      <w:r>
        <w:rPr>
          <w:rFonts w:hint="eastAsia"/>
          <w:highlight w:val="none"/>
        </w:rPr>
        <w:t>。</w:t>
      </w:r>
    </w:p>
    <w:p w14:paraId="1C075A04">
      <w:pPr>
        <w:rPr>
          <w:rFonts w:hint="eastAsia"/>
          <w:highlight w:val="none"/>
        </w:rPr>
      </w:pPr>
      <w:r>
        <w:rPr>
          <w:rFonts w:hint="eastAsia"/>
          <w:highlight w:val="none"/>
        </w:rPr>
        <w:t>5. 显示方式：液晶屏幕显示内容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模式（冷风、暖风）、</w:t>
      </w:r>
      <w:r>
        <w:rPr>
          <w:rFonts w:hint="eastAsia"/>
          <w:highlight w:val="none"/>
        </w:rPr>
        <w:t>转速、温度、运行状态等）。</w:t>
      </w:r>
    </w:p>
    <w:p w14:paraId="7C4B69CB">
      <w:pPr>
        <w:rPr>
          <w:rFonts w:hint="eastAsia"/>
          <w:highlight w:val="none"/>
        </w:rPr>
      </w:pPr>
      <w:r>
        <w:rPr>
          <w:rFonts w:hint="eastAsia"/>
          <w:highlight w:val="none"/>
        </w:rPr>
        <w:t>6. </w:t>
      </w:r>
      <w:r>
        <w:rPr>
          <w:rFonts w:hint="eastAsia"/>
          <w:highlight w:val="none"/>
          <w:lang w:val="en-US" w:eastAsia="zh-CN"/>
        </w:rPr>
        <w:t>温控器</w:t>
      </w:r>
      <w:r>
        <w:rPr>
          <w:rFonts w:hint="eastAsia"/>
          <w:highlight w:val="none"/>
        </w:rPr>
        <w:t>：</w:t>
      </w:r>
      <w:r>
        <w:rPr>
          <w:rFonts w:hint="eastAsia"/>
          <w:highlight w:val="none"/>
          <w:lang w:val="en-US" w:eastAsia="zh-CN"/>
        </w:rPr>
        <w:t>采用PC+ABS阻燃材质，绝缘阻燃</w:t>
      </w:r>
      <w:r>
        <w:rPr>
          <w:rFonts w:hint="eastAsia"/>
          <w:highlight w:val="none"/>
        </w:rPr>
        <w:t>。</w:t>
      </w:r>
    </w:p>
    <w:p w14:paraId="376F0BF3">
      <w:pPr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7.</w:t>
      </w:r>
      <w:r>
        <w:rPr>
          <w:rFonts w:hint="eastAsia"/>
          <w:highlight w:val="none"/>
        </w:rPr>
        <w:t> 安装尺寸：</w:t>
      </w:r>
      <w:r>
        <w:rPr>
          <w:rFonts w:hint="eastAsia"/>
          <w:highlight w:val="none"/>
          <w:lang w:val="en-US" w:eastAsia="zh-CN"/>
        </w:rPr>
        <w:t>86盒安装</w:t>
      </w:r>
      <w:r>
        <w:rPr>
          <w:rFonts w:hint="eastAsia"/>
          <w:highlight w:val="none"/>
        </w:rPr>
        <w:t>。</w:t>
      </w:r>
    </w:p>
    <w:p w14:paraId="2CA21F51">
      <w:pPr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9.质保期：本产品质量保修期为两年，自本产品安装验收合格完成后起计算。</w:t>
      </w:r>
    </w:p>
    <w:p w14:paraId="7212E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7609C"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四、用料清单：</w:t>
      </w:r>
    </w:p>
    <w:tbl>
      <w:tblPr>
        <w:tblStyle w:val="7"/>
        <w:tblW w:w="98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068"/>
        <w:gridCol w:w="860"/>
        <w:gridCol w:w="968"/>
        <w:gridCol w:w="927"/>
        <w:gridCol w:w="900"/>
        <w:gridCol w:w="1476"/>
      </w:tblGrid>
      <w:tr w14:paraId="16CC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2CF1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聊城市技师学院中央空调液晶温控器控制面板更换采购项目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8047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产品要求：室内温度设置、手动或自动控制风机三速转换、低温保护功能、自动恒温、绝缘阻燃、智能芯片、大屏显示。</w:t>
            </w:r>
          </w:p>
          <w:p w14:paraId="723E62C1">
            <w:pPr>
              <w:rPr>
                <w:rFonts w:hint="eastAsia"/>
              </w:rPr>
            </w:pPr>
            <w:r>
              <w:rPr>
                <w:rFonts w:hint="eastAsia"/>
              </w:rPr>
              <w:t>1. </w:t>
            </w:r>
            <w:r>
              <w:rPr>
                <w:rFonts w:hint="eastAsia"/>
                <w:lang w:val="en-US" w:eastAsia="zh-CN"/>
              </w:rPr>
              <w:t>电源</w:t>
            </w:r>
            <w:r>
              <w:rPr>
                <w:rFonts w:hint="eastAsia"/>
              </w:rPr>
              <w:t>电压：一般为常见的交流电压， 220V 。</w:t>
            </w:r>
          </w:p>
          <w:p w14:paraId="5C9D3FCD">
            <w:pPr>
              <w:rPr>
                <w:rFonts w:hint="eastAsia"/>
              </w:rPr>
            </w:pPr>
            <w:r>
              <w:rPr>
                <w:rFonts w:hint="eastAsia"/>
              </w:rPr>
              <w:t>2. 控制功率：明确其能够有效控制的功率范围</w:t>
            </w:r>
            <w:r>
              <w:rPr>
                <w:rFonts w:hint="eastAsia"/>
                <w:lang w:val="en-US" w:eastAsia="zh-CN"/>
              </w:rPr>
              <w:t>(小于100W)</w:t>
            </w:r>
            <w:r>
              <w:rPr>
                <w:rFonts w:hint="eastAsia"/>
              </w:rPr>
              <w:t>。</w:t>
            </w:r>
          </w:p>
          <w:p w14:paraId="43DBE0FE">
            <w:pPr>
              <w:rPr>
                <w:rFonts w:hint="eastAsia"/>
              </w:rPr>
            </w:pPr>
            <w:r>
              <w:rPr>
                <w:rFonts w:hint="eastAsia"/>
              </w:rPr>
              <w:t>3. 调速范围：</w:t>
            </w:r>
            <w:r>
              <w:rPr>
                <w:rFonts w:hint="eastAsia"/>
                <w:lang w:eastAsia="zh-CN"/>
              </w:rPr>
              <w:t>高速、中速、低速</w:t>
            </w:r>
            <w:r>
              <w:rPr>
                <w:rFonts w:hint="eastAsia"/>
              </w:rPr>
              <w:t>。</w:t>
            </w:r>
          </w:p>
          <w:p w14:paraId="02DCA4B3">
            <w:pPr>
              <w:rPr>
                <w:rFonts w:hint="eastAsia"/>
              </w:rPr>
            </w:pPr>
            <w:r>
              <w:rPr>
                <w:rFonts w:hint="eastAsia"/>
              </w:rPr>
              <w:t>4. </w:t>
            </w:r>
            <w:r>
              <w:rPr>
                <w:rFonts w:hint="eastAsia"/>
                <w:lang w:val="en-US" w:eastAsia="zh-CN"/>
              </w:rPr>
              <w:t>温控</w:t>
            </w:r>
            <w:r>
              <w:rPr>
                <w:rFonts w:hint="eastAsia"/>
              </w:rPr>
              <w:t>精度：</w:t>
            </w:r>
            <w:r>
              <w:rPr>
                <w:rFonts w:hint="eastAsia"/>
                <w:lang w:eastAsia="zh-CN"/>
              </w:rPr>
              <w:t>正负</w:t>
            </w:r>
            <w:r>
              <w:rPr>
                <w:rFonts w:hint="eastAsia"/>
                <w:lang w:val="en-US" w:eastAsia="zh-CN"/>
              </w:rPr>
              <w:t>1°</w:t>
            </w:r>
            <w:r>
              <w:rPr>
                <w:rFonts w:hint="eastAsia"/>
              </w:rPr>
              <w:t>。</w:t>
            </w:r>
          </w:p>
          <w:p w14:paraId="379175CE">
            <w:pPr>
              <w:rPr>
                <w:rFonts w:hint="eastAsia"/>
              </w:rPr>
            </w:pPr>
            <w:r>
              <w:rPr>
                <w:rFonts w:hint="eastAsia"/>
              </w:rPr>
              <w:t>5. 显示方式：液晶屏幕显示内容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模式（冷风、暖风）、</w:t>
            </w:r>
            <w:r>
              <w:rPr>
                <w:rFonts w:hint="eastAsia"/>
              </w:rPr>
              <w:t>转速、温度、运行状态等）。</w:t>
            </w:r>
          </w:p>
          <w:p w14:paraId="361CFE80">
            <w:pPr>
              <w:rPr>
                <w:rFonts w:hint="eastAsia"/>
              </w:rPr>
            </w:pPr>
            <w:r>
              <w:rPr>
                <w:rFonts w:hint="eastAsia"/>
              </w:rPr>
              <w:t>6. </w:t>
            </w:r>
            <w:r>
              <w:rPr>
                <w:rFonts w:hint="eastAsia"/>
                <w:lang w:val="en-US" w:eastAsia="zh-CN"/>
              </w:rPr>
              <w:t>温控器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采用PC+ABS阻燃材质，绝缘阻燃</w:t>
            </w:r>
            <w:r>
              <w:rPr>
                <w:rFonts w:hint="eastAsia"/>
              </w:rPr>
              <w:t>。</w:t>
            </w:r>
          </w:p>
          <w:p w14:paraId="13F3E51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eastAsia"/>
              </w:rPr>
              <w:t> 安装尺寸：</w:t>
            </w:r>
            <w:r>
              <w:rPr>
                <w:rFonts w:hint="eastAsia"/>
                <w:lang w:val="en-US" w:eastAsia="zh-CN"/>
              </w:rPr>
              <w:t>86盒安装</w:t>
            </w:r>
            <w:r>
              <w:rPr>
                <w:rFonts w:hint="eastAsia"/>
              </w:rPr>
              <w:t>。</w:t>
            </w:r>
          </w:p>
          <w:p w14:paraId="0FBCDE77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9.质保期：本产品质量保修期为两年，自本产品安装验收合格完成后起计算。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B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F1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8C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8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AB98FF8">
      <w:pPr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 w14:paraId="54648A9B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本报价为全费用单价，以上价格包含材料、人工费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运输、税费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266AEBB3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 ，总价报价不能超预算总价。</w:t>
      </w:r>
    </w:p>
    <w:p w14:paraId="5C376AA4">
      <w:pPr>
        <w:pStyle w:val="6"/>
        <w:ind w:left="480" w:firstLine="0" w:firstLineChars="0"/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6EFAA">
    <w:pPr>
      <w:pStyle w:val="4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02564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E0DC66C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43006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92C58">
    <w:pPr>
      <w:pStyle w:val="4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1B9CB">
    <w:pPr>
      <w:pStyle w:val="5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4CA9C590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7816E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5D521E2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1ABEA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90E1C">
    <w:pPr>
      <w:pStyle w:val="5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AE5CB"/>
    <w:multiLevelType w:val="singleLevel"/>
    <w:tmpl w:val="B89AE5C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710C67CE"/>
    <w:rsid w:val="002424BD"/>
    <w:rsid w:val="004552F0"/>
    <w:rsid w:val="004D7F2A"/>
    <w:rsid w:val="00530DD2"/>
    <w:rsid w:val="005D559D"/>
    <w:rsid w:val="00661022"/>
    <w:rsid w:val="0076695E"/>
    <w:rsid w:val="007A79D7"/>
    <w:rsid w:val="009E5E17"/>
    <w:rsid w:val="00D66431"/>
    <w:rsid w:val="015974C0"/>
    <w:rsid w:val="02EC685C"/>
    <w:rsid w:val="03583AE3"/>
    <w:rsid w:val="03CA5971"/>
    <w:rsid w:val="040E27E3"/>
    <w:rsid w:val="05B44CC5"/>
    <w:rsid w:val="05FB572F"/>
    <w:rsid w:val="09F2391D"/>
    <w:rsid w:val="0A2237CE"/>
    <w:rsid w:val="0B1D58F9"/>
    <w:rsid w:val="0C3E785B"/>
    <w:rsid w:val="0CD655CA"/>
    <w:rsid w:val="0F0A242F"/>
    <w:rsid w:val="0F2904D1"/>
    <w:rsid w:val="12622E7B"/>
    <w:rsid w:val="12645BB2"/>
    <w:rsid w:val="14504364"/>
    <w:rsid w:val="14FB5517"/>
    <w:rsid w:val="153674A4"/>
    <w:rsid w:val="1571672E"/>
    <w:rsid w:val="15BD469A"/>
    <w:rsid w:val="16840E59"/>
    <w:rsid w:val="1690453D"/>
    <w:rsid w:val="17AF353E"/>
    <w:rsid w:val="186C7681"/>
    <w:rsid w:val="187327BD"/>
    <w:rsid w:val="194C12F1"/>
    <w:rsid w:val="1EEE4F9E"/>
    <w:rsid w:val="1EF81C6E"/>
    <w:rsid w:val="207D067D"/>
    <w:rsid w:val="28E60D8A"/>
    <w:rsid w:val="2A9C2048"/>
    <w:rsid w:val="2B4C75CA"/>
    <w:rsid w:val="2B683CD8"/>
    <w:rsid w:val="2D8A6A56"/>
    <w:rsid w:val="2E605000"/>
    <w:rsid w:val="2ECD1756"/>
    <w:rsid w:val="2EDF69A7"/>
    <w:rsid w:val="32870003"/>
    <w:rsid w:val="337771AE"/>
    <w:rsid w:val="33DC1707"/>
    <w:rsid w:val="349F69BC"/>
    <w:rsid w:val="34F309EC"/>
    <w:rsid w:val="365F1184"/>
    <w:rsid w:val="37C16C4A"/>
    <w:rsid w:val="38327B47"/>
    <w:rsid w:val="3862667F"/>
    <w:rsid w:val="39F96E2B"/>
    <w:rsid w:val="3ADA6B12"/>
    <w:rsid w:val="3B073014"/>
    <w:rsid w:val="3BDC04F6"/>
    <w:rsid w:val="3DDA0A65"/>
    <w:rsid w:val="3E133749"/>
    <w:rsid w:val="3E6E29F1"/>
    <w:rsid w:val="3EB5502E"/>
    <w:rsid w:val="3F0A7128"/>
    <w:rsid w:val="3FE70503"/>
    <w:rsid w:val="40C61775"/>
    <w:rsid w:val="40D774DE"/>
    <w:rsid w:val="41F540C0"/>
    <w:rsid w:val="44000AFA"/>
    <w:rsid w:val="444906F3"/>
    <w:rsid w:val="44B85FD7"/>
    <w:rsid w:val="458D0AB3"/>
    <w:rsid w:val="464623D8"/>
    <w:rsid w:val="46621D09"/>
    <w:rsid w:val="46D30BB5"/>
    <w:rsid w:val="46F04254"/>
    <w:rsid w:val="4C5E6E8B"/>
    <w:rsid w:val="4CC70D3F"/>
    <w:rsid w:val="505660F7"/>
    <w:rsid w:val="5268268C"/>
    <w:rsid w:val="528A2602"/>
    <w:rsid w:val="5292555D"/>
    <w:rsid w:val="52CC2C1B"/>
    <w:rsid w:val="538F59F6"/>
    <w:rsid w:val="54B5148C"/>
    <w:rsid w:val="54BA6AA3"/>
    <w:rsid w:val="54D745DB"/>
    <w:rsid w:val="55C45E2B"/>
    <w:rsid w:val="55F54236"/>
    <w:rsid w:val="585E473E"/>
    <w:rsid w:val="5C473312"/>
    <w:rsid w:val="5F01547F"/>
    <w:rsid w:val="60B72ED0"/>
    <w:rsid w:val="619302B5"/>
    <w:rsid w:val="62A274F4"/>
    <w:rsid w:val="63B75221"/>
    <w:rsid w:val="64441D96"/>
    <w:rsid w:val="647645FA"/>
    <w:rsid w:val="67A205A8"/>
    <w:rsid w:val="67F65BEC"/>
    <w:rsid w:val="68B910F3"/>
    <w:rsid w:val="705B2543"/>
    <w:rsid w:val="710C67CE"/>
    <w:rsid w:val="714F3009"/>
    <w:rsid w:val="718D0E4D"/>
    <w:rsid w:val="71A72881"/>
    <w:rsid w:val="71B40BC3"/>
    <w:rsid w:val="72C76B03"/>
    <w:rsid w:val="72CC236B"/>
    <w:rsid w:val="780D6D66"/>
    <w:rsid w:val="7A5A200A"/>
    <w:rsid w:val="7AED10D1"/>
    <w:rsid w:val="7B6F492A"/>
    <w:rsid w:val="7DA939D5"/>
    <w:rsid w:val="7DCD4336"/>
    <w:rsid w:val="7F0F5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3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4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6">
    <w:name w:val="Body Text First Indent 2"/>
    <w:basedOn w:val="2"/>
    <w:autoRedefine/>
    <w:semiHidden/>
    <w:qFormat/>
    <w:uiPriority w:val="99"/>
    <w:pPr>
      <w:ind w:firstLine="420" w:firstLineChars="200"/>
    </w:p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2489</Words>
  <Characters>2718</Characters>
  <Lines>25</Lines>
  <Paragraphs>7</Paragraphs>
  <TotalTime>28</TotalTime>
  <ScaleCrop>false</ScaleCrop>
  <LinksUpToDate>false</LinksUpToDate>
  <CharactersWithSpaces>2802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2023-10-25T08:37:00Z</dcterms:created>
  <dc:creator>pubbing</dc:creator>
  <cp:lastModifiedBy>Vivian</cp:lastModifiedBy>
  <cp:lastPrinted>2024-07-23T06:52:49Z</cp:lastPrinted>
  <dcterms:modified xsi:type="dcterms:W3CDTF">2024-07-23T06:52:59Z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6418DDE363A740669327594AB77B4A04_13</vt:lpwstr>
  </property>
</Properties>
</file>