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2" w:name="_GoBack"/>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5BE2E72"/>
    <w:rsid w:val="35D41930"/>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2400</Words>
  <Characters>2771</Characters>
  <Lines>17</Lines>
  <Paragraphs>4</Paragraphs>
  <TotalTime>3</TotalTime>
  <ScaleCrop>false</ScaleCrop>
  <LinksUpToDate>false</LinksUpToDate>
  <CharactersWithSpaces>2841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微尘</cp:lastModifiedBy>
  <cp:lastPrinted>2025-03-17T01:44:00Z</cp:lastPrinted>
  <dcterms:modified xsi:type="dcterms:W3CDTF">2025-08-13T03:27:37Z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D66514FF42B0429CBDD215B1D5FCAA8E_13</vt:lpwstr>
  </property>
  <property fmtid="{D5CDD505-2E9C-101B-9397-08002B2CF9AE}" pid="4" name="KSOTemplateDocerSaveRecord">
    <vt:lpwstr>eyJoZGlkIjoiZDE4NWI4ZTVkMWQ3ZWIxM2YxY2Q2YWQ1MzM3Nzc0NjUiLCJ1c2VySWQiOiI0MTQ1MjQwNTYifQ==</vt:lpwstr>
  </property>
</Properties>
</file>