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聊城市技师学院云计算技能提升资源包采购项目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二一年十月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聊城市技师学院云计算技能提升资源包采购项目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二、项目名称：聊城市技师学院云计算技能提升资源包采购项目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rPr>
        <w:t>共一个包：聊城市技师学院云计算技能提升资源包采购项目</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，将营业执照和相关资质发到邮箱，注明</w:t>
      </w:r>
      <w:r>
        <w:rPr>
          <w:rFonts w:hint="eastAsia" w:ascii="宋体" w:hAnsi="宋体"/>
          <w:sz w:val="24"/>
          <w:szCs w:val="24"/>
          <w:lang w:eastAsia="zh-CN"/>
        </w:rPr>
        <w:t>项目名称</w:t>
      </w:r>
      <w:r>
        <w:rPr>
          <w:rFonts w:hint="eastAsia" w:ascii="宋体" w:hAnsi="宋体"/>
          <w:sz w:val="24"/>
          <w:szCs w:val="24"/>
        </w:rPr>
        <w:t>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hint="eastAsia" w:ascii="宋体"/>
          <w:sz w:val="24"/>
          <w:szCs w:val="24"/>
          <w:lang w:val="en-US" w:eastAsia="zh-CN"/>
        </w:rPr>
        <w:t>0</w:t>
      </w:r>
      <w:bookmarkStart w:id="2" w:name="_GoBack"/>
      <w:bookmarkEnd w:id="2"/>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jc w:val="left"/>
              <w:rPr>
                <w:rFonts w:ascii="宋体" w:hAnsi="宋体" w:cs="宋体"/>
                <w:bCs/>
                <w:kern w:val="0"/>
                <w:szCs w:val="21"/>
              </w:rPr>
            </w:pPr>
            <w:r>
              <w:rPr>
                <w:rFonts w:hint="eastAsia" w:ascii="宋体" w:hAnsi="宋体"/>
                <w:sz w:val="24"/>
                <w:szCs w:val="24"/>
              </w:rPr>
              <w:t>聊城市技师学院云计算技能提升资源包采购项目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主要内容为聊城市技师学院云计算技能提升资源包采购项目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交货期</w:t>
            </w:r>
          </w:p>
        </w:tc>
        <w:tc>
          <w:tcPr>
            <w:tcW w:w="8127" w:type="dxa"/>
            <w:vAlign w:val="center"/>
          </w:tcPr>
          <w:p>
            <w:pPr>
              <w:spacing w:line="276" w:lineRule="auto"/>
              <w:jc w:val="left"/>
              <w:rPr>
                <w:rFonts w:ascii="宋体"/>
                <w:color w:val="000000"/>
                <w:szCs w:val="21"/>
              </w:rPr>
            </w:pPr>
            <w:r>
              <w:rPr>
                <w:rFonts w:hint="eastAsia" w:ascii="宋体"/>
                <w:color w:val="000000"/>
                <w:szCs w:val="21"/>
              </w:rPr>
              <w:t>签订合同后10个日历天内完成。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质保期</w:t>
            </w:r>
          </w:p>
        </w:tc>
        <w:tc>
          <w:tcPr>
            <w:tcW w:w="8127" w:type="dxa"/>
            <w:vAlign w:val="center"/>
          </w:tcPr>
          <w:p>
            <w:pPr>
              <w:spacing w:line="276" w:lineRule="auto"/>
              <w:jc w:val="left"/>
              <w:rPr>
                <w:rFonts w:ascii="宋体"/>
                <w:color w:val="000000"/>
                <w:szCs w:val="21"/>
              </w:rPr>
            </w:pPr>
            <w:r>
              <w:rPr>
                <w:rFonts w:hint="eastAsia"/>
                <w:color w:val="000000"/>
              </w:rPr>
              <w:t>自完工验收合格之日起1年。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付款方式</w:t>
            </w:r>
          </w:p>
        </w:tc>
        <w:tc>
          <w:tcPr>
            <w:tcW w:w="8127" w:type="dxa"/>
            <w:vAlign w:val="center"/>
          </w:tcPr>
          <w:p>
            <w:pPr>
              <w:pStyle w:val="296"/>
              <w:jc w:val="left"/>
              <w:rPr>
                <w:rFonts w:ascii="宋体" w:hAnsi="宋体"/>
                <w:b w:val="0"/>
                <w:sz w:val="24"/>
                <w:szCs w:val="24"/>
              </w:rPr>
            </w:pPr>
            <w:r>
              <w:rPr>
                <w:rFonts w:hint="eastAsia" w:ascii="宋体" w:hAnsi="宋体"/>
                <w:b w:val="0"/>
                <w:sz w:val="24"/>
                <w:szCs w:val="24"/>
              </w:rPr>
              <w:t>验收合格后付合同金额的9</w:t>
            </w:r>
            <w:r>
              <w:rPr>
                <w:rFonts w:ascii="宋体" w:hAnsi="宋体"/>
                <w:b w:val="0"/>
                <w:sz w:val="24"/>
                <w:szCs w:val="24"/>
              </w:rPr>
              <w:t>5</w:t>
            </w:r>
            <w:r>
              <w:rPr>
                <w:rFonts w:hint="eastAsia" w:ascii="宋体" w:hAnsi="宋体"/>
                <w:b w:val="0"/>
                <w:sz w:val="24"/>
                <w:szCs w:val="24"/>
              </w:rPr>
              <w:t>%，</w:t>
            </w:r>
            <w:r>
              <w:rPr>
                <w:rFonts w:ascii="宋体" w:hAnsi="宋体"/>
                <w:b w:val="0"/>
                <w:sz w:val="24"/>
                <w:szCs w:val="24"/>
              </w:rPr>
              <w:t>余5%待质保期满后且没有任何质量问题则一次性付清。以上款项在乙方开具合格发票后，甲方以支票或转账的方式支付。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10</w:t>
            </w:r>
          </w:p>
        </w:tc>
        <w:tc>
          <w:tcPr>
            <w:tcW w:w="1709" w:type="dxa"/>
            <w:vAlign w:val="center"/>
          </w:tcPr>
          <w:p>
            <w:pPr>
              <w:spacing w:line="276" w:lineRule="auto"/>
              <w:jc w:val="center"/>
              <w:rPr>
                <w:rFonts w:ascii="宋体" w:hAnsi="宋体"/>
                <w:color w:val="000000"/>
                <w:szCs w:val="21"/>
              </w:rPr>
            </w:pPr>
            <w:r>
              <w:rPr>
                <w:rFonts w:hint="eastAsia" w:ascii="宋体" w:hAnsi="宋体"/>
                <w:color w:val="000000"/>
                <w:szCs w:val="21"/>
              </w:rPr>
              <w:t>结算方式</w:t>
            </w:r>
          </w:p>
        </w:tc>
        <w:tc>
          <w:tcPr>
            <w:tcW w:w="8127" w:type="dxa"/>
            <w:vAlign w:val="center"/>
          </w:tcPr>
          <w:p>
            <w:pPr>
              <w:pStyle w:val="101"/>
              <w:spacing w:line="276" w:lineRule="auto"/>
              <w:jc w:val="both"/>
              <w:rPr>
                <w:rFonts w:ascii="宋体" w:hAnsi="宋体" w:eastAsia="宋体"/>
                <w:color w:val="000000"/>
                <w:spacing w:val="0"/>
                <w:sz w:val="24"/>
                <w:szCs w:val="24"/>
              </w:rPr>
            </w:pPr>
            <w:r>
              <w:rPr>
                <w:rFonts w:hint="eastAsia" w:ascii="宋体" w:hAnsi="宋体" w:eastAsia="宋体"/>
                <w:bCs/>
                <w:sz w:val="24"/>
                <w:szCs w:val="24"/>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adjustRightInd w:val="0"/>
              <w:snapToGrid w:val="0"/>
              <w:spacing w:line="408" w:lineRule="auto"/>
              <w:jc w:val="left"/>
              <w:rPr>
                <w:rFonts w:ascii="宋体"/>
                <w:color w:val="000000"/>
                <w:sz w:val="24"/>
                <w:szCs w:val="24"/>
              </w:rPr>
            </w:pPr>
            <w:r>
              <w:rPr>
                <w:rFonts w:ascii="宋体" w:hAnsi="宋体"/>
                <w:color w:val="000000"/>
                <w:sz w:val="24"/>
                <w:szCs w:val="24"/>
              </w:rPr>
              <w:t>2021</w:t>
            </w:r>
            <w:r>
              <w:rPr>
                <w:rFonts w:hint="eastAsia" w:ascii="宋体" w:hAnsi="宋体"/>
                <w:color w:val="000000"/>
                <w:sz w:val="24"/>
                <w:szCs w:val="24"/>
              </w:rPr>
              <w:t>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11</w:t>
            </w:r>
            <w:r>
              <w:rPr>
                <w:rFonts w:hint="eastAsia" w:ascii="宋体" w:hAnsi="宋体"/>
                <w:color w:val="000000"/>
                <w:sz w:val="24"/>
                <w:szCs w:val="24"/>
              </w:rPr>
              <w:t>日</w:t>
            </w:r>
            <w:r>
              <w:rPr>
                <w:rFonts w:ascii="宋体" w:hAnsi="宋体"/>
                <w:color w:val="000000"/>
                <w:sz w:val="24"/>
                <w:szCs w:val="24"/>
              </w:rPr>
              <w:t>-2021</w:t>
            </w:r>
            <w:r>
              <w:rPr>
                <w:rFonts w:hint="eastAsia" w:ascii="宋体" w:hAnsi="宋体"/>
                <w:color w:val="000000"/>
                <w:sz w:val="24"/>
                <w:szCs w:val="24"/>
              </w:rPr>
              <w:t>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13</w:t>
            </w:r>
            <w:r>
              <w:rPr>
                <w:rFonts w:hint="eastAsia" w:ascii="宋体" w:hAnsi="宋体"/>
                <w:color w:val="000000"/>
                <w:sz w:val="24"/>
                <w:szCs w:val="24"/>
              </w:rPr>
              <w:t>日（北京时间），每日上午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财政性资金，控制价：4.8万元，报价超过控制价为无效报价。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hAnsi="宋体"/>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spacing w:line="500" w:lineRule="exact"/>
        <w:ind w:left="700" w:hanging="700" w:hangingChars="250"/>
        <w:jc w:val="center"/>
      </w:pPr>
      <w:r>
        <w:rPr>
          <w:rFonts w:hint="eastAsia" w:ascii="仿宋_GB2312" w:hAnsi="仿宋_GB2312" w:eastAsia="仿宋_GB2312" w:cs="仿宋_GB2312"/>
          <w:sz w:val="28"/>
          <w:szCs w:val="28"/>
        </w:rPr>
        <w:t>聊城市技师学院云计算技能提升资源包采购项目</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5761"/>
        <w:gridCol w:w="990"/>
        <w:gridCol w:w="66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42" w:type="pct"/>
            <w:shd w:val="clear" w:color="000000" w:fill="FCE4D6"/>
            <w:vAlign w:val="center"/>
          </w:tcPr>
          <w:p>
            <w:pPr>
              <w:widowControl/>
              <w:jc w:val="center"/>
              <w:rPr>
                <w:rFonts w:ascii="等线" w:hAnsi="等线" w:eastAsia="等线"/>
                <w:b/>
                <w:bCs/>
                <w:kern w:val="0"/>
                <w:sz w:val="20"/>
              </w:rPr>
            </w:pPr>
            <w:r>
              <w:rPr>
                <w:rFonts w:hint="eastAsia" w:ascii="等线" w:hAnsi="等线" w:eastAsia="等线" w:cs="宋体"/>
                <w:b/>
                <w:bCs/>
                <w:kern w:val="0"/>
                <w:sz w:val="20"/>
              </w:rPr>
              <w:t>产品名称</w:t>
            </w:r>
          </w:p>
        </w:tc>
        <w:tc>
          <w:tcPr>
            <w:tcW w:w="2897" w:type="pct"/>
            <w:shd w:val="clear" w:color="000000" w:fill="FCE4D6"/>
            <w:vAlign w:val="center"/>
          </w:tcPr>
          <w:p>
            <w:pPr>
              <w:widowControl/>
              <w:jc w:val="left"/>
              <w:rPr>
                <w:rFonts w:ascii="等线" w:hAnsi="等线" w:eastAsia="等线"/>
                <w:b/>
                <w:bCs/>
                <w:kern w:val="0"/>
                <w:sz w:val="20"/>
              </w:rPr>
            </w:pPr>
            <w:r>
              <w:rPr>
                <w:rFonts w:hint="eastAsia" w:ascii="等线" w:hAnsi="等线" w:eastAsia="等线" w:cs="宋体"/>
                <w:b/>
                <w:bCs/>
                <w:kern w:val="0"/>
                <w:sz w:val="20"/>
              </w:rPr>
              <w:t>技术规格描述</w:t>
            </w:r>
          </w:p>
        </w:tc>
        <w:tc>
          <w:tcPr>
            <w:tcW w:w="498" w:type="pct"/>
            <w:shd w:val="clear" w:color="000000" w:fill="FCE4D6"/>
          </w:tcPr>
          <w:p>
            <w:pPr>
              <w:widowControl/>
              <w:jc w:val="center"/>
              <w:rPr>
                <w:rFonts w:ascii="等线" w:hAnsi="等线" w:eastAsia="等线"/>
                <w:b/>
                <w:bCs/>
                <w:kern w:val="0"/>
                <w:sz w:val="20"/>
              </w:rPr>
            </w:pPr>
            <w:r>
              <w:rPr>
                <w:rFonts w:hint="eastAsia" w:ascii="等线" w:hAnsi="等线" w:eastAsia="等线" w:cs="宋体"/>
                <w:b/>
                <w:bCs/>
                <w:kern w:val="0"/>
                <w:sz w:val="20"/>
              </w:rPr>
              <w:t>品牌型号</w:t>
            </w:r>
          </w:p>
        </w:tc>
        <w:tc>
          <w:tcPr>
            <w:tcW w:w="332" w:type="pct"/>
            <w:shd w:val="clear" w:color="000000" w:fill="FCE4D6"/>
            <w:vAlign w:val="center"/>
          </w:tcPr>
          <w:p>
            <w:pPr>
              <w:widowControl/>
              <w:jc w:val="center"/>
              <w:rPr>
                <w:rFonts w:ascii="等线" w:hAnsi="等线" w:eastAsia="等线"/>
                <w:b/>
                <w:bCs/>
                <w:kern w:val="0"/>
                <w:sz w:val="20"/>
              </w:rPr>
            </w:pPr>
            <w:r>
              <w:rPr>
                <w:rFonts w:hint="eastAsia" w:ascii="等线" w:hAnsi="等线" w:eastAsia="等线" w:cs="宋体"/>
                <w:b/>
                <w:bCs/>
                <w:kern w:val="0"/>
                <w:sz w:val="20"/>
              </w:rPr>
              <w:t>数量</w:t>
            </w:r>
          </w:p>
        </w:tc>
        <w:tc>
          <w:tcPr>
            <w:tcW w:w="529" w:type="pct"/>
            <w:shd w:val="clear" w:color="000000" w:fill="FCE4D6"/>
            <w:vAlign w:val="center"/>
          </w:tcPr>
          <w:p>
            <w:pPr>
              <w:widowControl/>
              <w:jc w:val="center"/>
              <w:rPr>
                <w:rFonts w:ascii="等线" w:hAnsi="等线" w:eastAsia="等线"/>
                <w:b/>
                <w:bCs/>
                <w:kern w:val="0"/>
                <w:sz w:val="20"/>
              </w:rPr>
            </w:pPr>
            <w:r>
              <w:rPr>
                <w:rFonts w:hint="eastAsia" w:ascii="等线" w:hAnsi="等线" w:eastAsia="等线" w:cs="宋体"/>
                <w:b/>
                <w:bCs/>
                <w:kern w:val="0"/>
                <w:sz w:val="20"/>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42" w:type="pct"/>
            <w:shd w:val="clear" w:color="auto" w:fill="auto"/>
            <w:vAlign w:val="center"/>
          </w:tcPr>
          <w:p>
            <w:pPr>
              <w:widowControl/>
              <w:jc w:val="left"/>
              <w:rPr>
                <w:rFonts w:ascii="等线" w:hAnsi="等线" w:eastAsia="等线"/>
                <w:color w:val="000000"/>
                <w:kern w:val="0"/>
                <w:sz w:val="20"/>
              </w:rPr>
            </w:pPr>
            <w:r>
              <w:rPr>
                <w:rFonts w:ascii="等线" w:hAnsi="等线" w:eastAsia="等线" w:cs="宋体"/>
                <w:color w:val="000000"/>
                <w:kern w:val="0"/>
                <w:sz w:val="20"/>
              </w:rPr>
              <w:t>云计算技能提升资源包</w:t>
            </w:r>
          </w:p>
        </w:tc>
        <w:tc>
          <w:tcPr>
            <w:tcW w:w="2897" w:type="pct"/>
            <w:shd w:val="clear" w:color="auto" w:fill="auto"/>
            <w:vAlign w:val="center"/>
          </w:tcPr>
          <w:p>
            <w:pPr>
              <w:widowControl/>
              <w:jc w:val="left"/>
              <w:rPr>
                <w:rFonts w:ascii="等线" w:hAnsi="等线" w:eastAsia="等线"/>
                <w:color w:val="000000"/>
                <w:kern w:val="0"/>
                <w:sz w:val="20"/>
              </w:rPr>
            </w:pPr>
            <w:r>
              <w:rPr>
                <w:rFonts w:hint="eastAsia" w:ascii="等线" w:hAnsi="等线" w:eastAsia="等线" w:cs="宋体"/>
                <w:color w:val="000000"/>
                <w:kern w:val="0"/>
                <w:sz w:val="20"/>
              </w:rPr>
              <w:t>一、案例资源</w:t>
            </w:r>
          </w:p>
          <w:p>
            <w:pPr>
              <w:widowControl/>
              <w:jc w:val="left"/>
              <w:rPr>
                <w:rFonts w:ascii="等线" w:hAnsi="等线" w:eastAsia="等线"/>
                <w:color w:val="000000"/>
                <w:kern w:val="0"/>
                <w:sz w:val="20"/>
              </w:rPr>
            </w:pPr>
            <w:r>
              <w:rPr>
                <w:rFonts w:hint="eastAsia" w:ascii="等线" w:hAnsi="等线" w:eastAsia="等线" w:cs="宋体"/>
                <w:color w:val="000000"/>
                <w:kern w:val="0"/>
                <w:sz w:val="20"/>
              </w:rPr>
              <w:t>1.云网络搭建与维护</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（1）云网络搭建模拟软件：提供云网络搭建模拟软件的安装包与安装手册；</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（2）云网络搭建实操案例：提供使用云网络搭建模拟软件完成交换、路由、防火墙等实操案例。</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2.云平台运维</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（1）公有云实操案例：提供公有云的基本操作案例，包括弹性云服务器、云数据库、云硬盘、云备份、负载均衡实操案例等；</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（2）公有云容器实操案例：提供购买云原生容器集群案例，并提供在容器集群上进行部署镜像服务、开通界面服务等操作案例。</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3.业务系统上云</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（1）公有云应用上云实操案例：公有云应用上云实操，在公有云部署必要环境将博客应用迁移至公有云，并通过购买公有云的相关服务，提高应用系统的性能与可靠性；</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（2）公有云应用上云实操案例：在公有云上购买云主机、数据库、Redis等服务，将商城应用迁移至公有云，并通过购买公有云的相关服务，提高应用系统的性能与可靠性。</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4.云服务开发</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（1）公有云开发环境搭建：提供公有云SDK库，安装对接公有云API的开发环境；</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（2）公有云开发案例：对接公有云API进行功能开发，使用Python编写代码，实现相应功能，包括云服务器管理、安全组管理、虚拟私有云管理、密钥对管理等。</w:t>
            </w:r>
          </w:p>
          <w:p>
            <w:pPr>
              <w:pStyle w:val="257"/>
              <w:widowControl/>
              <w:ind w:firstLine="0" w:firstLineChars="0"/>
              <w:jc w:val="left"/>
              <w:rPr>
                <w:rFonts w:ascii="等线" w:hAnsi="等线" w:eastAsia="等线"/>
                <w:color w:val="000000"/>
                <w:kern w:val="0"/>
                <w:sz w:val="20"/>
              </w:rPr>
            </w:pP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二、公有云资源</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提供公有云账号1个，内含5000元，可用于购买训练所需公有云资源及服务。</w:t>
            </w:r>
          </w:p>
          <w:p>
            <w:pPr>
              <w:pStyle w:val="257"/>
              <w:widowControl/>
              <w:ind w:firstLine="0" w:firstLineChars="0"/>
              <w:jc w:val="left"/>
              <w:rPr>
                <w:rFonts w:ascii="等线" w:hAnsi="等线" w:eastAsia="等线"/>
                <w:color w:val="000000"/>
                <w:kern w:val="0"/>
                <w:sz w:val="20"/>
              </w:rPr>
            </w:pPr>
            <w:r>
              <w:rPr>
                <w:rFonts w:hint="eastAsia" w:ascii="等线" w:hAnsi="等线" w:eastAsia="等线" w:cs="宋体"/>
                <w:color w:val="000000"/>
                <w:kern w:val="0"/>
                <w:sz w:val="20"/>
              </w:rPr>
              <w:t>.</w:t>
            </w:r>
          </w:p>
        </w:tc>
        <w:tc>
          <w:tcPr>
            <w:tcW w:w="498" w:type="pct"/>
            <w:vAlign w:val="center"/>
          </w:tcPr>
          <w:p>
            <w:pPr>
              <w:widowControl/>
              <w:rPr>
                <w:rFonts w:ascii="等线" w:hAnsi="等线" w:eastAsia="等线"/>
                <w:kern w:val="0"/>
                <w:sz w:val="20"/>
              </w:rPr>
            </w:pPr>
            <w:r>
              <w:rPr>
                <w:rFonts w:hint="eastAsia" w:ascii="等线" w:hAnsi="等线" w:eastAsia="等线" w:cs="宋体"/>
                <w:kern w:val="0"/>
                <w:sz w:val="20"/>
              </w:rPr>
              <w:t>云计算技能提升资源包软件V1.0</w:t>
            </w:r>
          </w:p>
        </w:tc>
        <w:tc>
          <w:tcPr>
            <w:tcW w:w="332" w:type="pct"/>
            <w:shd w:val="clear" w:color="auto" w:fill="auto"/>
            <w:vAlign w:val="center"/>
          </w:tcPr>
          <w:p>
            <w:pPr>
              <w:widowControl/>
              <w:jc w:val="center"/>
              <w:rPr>
                <w:rFonts w:ascii="等线" w:hAnsi="等线" w:eastAsia="等线"/>
                <w:kern w:val="0"/>
                <w:sz w:val="20"/>
              </w:rPr>
            </w:pPr>
            <w:r>
              <w:rPr>
                <w:rFonts w:hint="eastAsia" w:ascii="等线" w:hAnsi="等线" w:eastAsia="等线" w:cs="宋体"/>
                <w:kern w:val="0"/>
                <w:sz w:val="20"/>
              </w:rPr>
              <w:t>1套</w:t>
            </w:r>
          </w:p>
        </w:tc>
        <w:tc>
          <w:tcPr>
            <w:tcW w:w="529" w:type="pct"/>
            <w:shd w:val="clear" w:color="auto" w:fill="auto"/>
            <w:vAlign w:val="center"/>
          </w:tcPr>
          <w:p>
            <w:pPr>
              <w:widowControl/>
              <w:jc w:val="center"/>
              <w:rPr>
                <w:rFonts w:ascii="等线" w:hAnsi="等线" w:eastAsia="等线"/>
                <w:kern w:val="0"/>
                <w:sz w:val="20"/>
              </w:rPr>
            </w:pPr>
          </w:p>
        </w:tc>
      </w:tr>
    </w:tbl>
    <w:p/>
    <w:p/>
    <w:p/>
    <w:p>
      <w:pPr>
        <w:pStyle w:val="2"/>
        <w:ind w:firstLine="40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2049"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2050"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504E"/>
    <w:rsid w:val="000C6076"/>
    <w:rsid w:val="000C7285"/>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479"/>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56A"/>
    <w:rsid w:val="00246F02"/>
    <w:rsid w:val="002470A2"/>
    <w:rsid w:val="00247215"/>
    <w:rsid w:val="00253975"/>
    <w:rsid w:val="00254088"/>
    <w:rsid w:val="002564F3"/>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799"/>
    <w:rsid w:val="00280E36"/>
    <w:rsid w:val="00282343"/>
    <w:rsid w:val="0028272C"/>
    <w:rsid w:val="00283F4D"/>
    <w:rsid w:val="00285B7C"/>
    <w:rsid w:val="00291533"/>
    <w:rsid w:val="00291691"/>
    <w:rsid w:val="002A3468"/>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53A4"/>
    <w:rsid w:val="00337F93"/>
    <w:rsid w:val="00341E8B"/>
    <w:rsid w:val="00343BA7"/>
    <w:rsid w:val="00345FD4"/>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DFB"/>
    <w:rsid w:val="00397674"/>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3CD1"/>
    <w:rsid w:val="00414F4C"/>
    <w:rsid w:val="00416252"/>
    <w:rsid w:val="004173A4"/>
    <w:rsid w:val="00417D27"/>
    <w:rsid w:val="004207A4"/>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0853"/>
    <w:rsid w:val="004B1A29"/>
    <w:rsid w:val="004B46A3"/>
    <w:rsid w:val="004B4ECB"/>
    <w:rsid w:val="004C11F1"/>
    <w:rsid w:val="004C17DA"/>
    <w:rsid w:val="004C1955"/>
    <w:rsid w:val="004C2117"/>
    <w:rsid w:val="004C47D6"/>
    <w:rsid w:val="004D2679"/>
    <w:rsid w:val="004D46EA"/>
    <w:rsid w:val="004D642D"/>
    <w:rsid w:val="004E595B"/>
    <w:rsid w:val="004E7AAB"/>
    <w:rsid w:val="004F0413"/>
    <w:rsid w:val="004F07D0"/>
    <w:rsid w:val="004F10CF"/>
    <w:rsid w:val="004F1571"/>
    <w:rsid w:val="004F4404"/>
    <w:rsid w:val="004F705C"/>
    <w:rsid w:val="00502C92"/>
    <w:rsid w:val="00505658"/>
    <w:rsid w:val="00506F73"/>
    <w:rsid w:val="00507E13"/>
    <w:rsid w:val="005112A5"/>
    <w:rsid w:val="005131C4"/>
    <w:rsid w:val="00515F31"/>
    <w:rsid w:val="00517F9D"/>
    <w:rsid w:val="00521F3E"/>
    <w:rsid w:val="005226C4"/>
    <w:rsid w:val="005243BE"/>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1635"/>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E281C"/>
    <w:rsid w:val="005F321D"/>
    <w:rsid w:val="005F433F"/>
    <w:rsid w:val="005F4553"/>
    <w:rsid w:val="005F5FDD"/>
    <w:rsid w:val="005F76C2"/>
    <w:rsid w:val="005F7B59"/>
    <w:rsid w:val="00600325"/>
    <w:rsid w:val="00600518"/>
    <w:rsid w:val="0060174D"/>
    <w:rsid w:val="0060451E"/>
    <w:rsid w:val="0060650D"/>
    <w:rsid w:val="006075D9"/>
    <w:rsid w:val="00610F3F"/>
    <w:rsid w:val="00611972"/>
    <w:rsid w:val="00612CB1"/>
    <w:rsid w:val="00615112"/>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8713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643"/>
    <w:rsid w:val="007027D5"/>
    <w:rsid w:val="00706923"/>
    <w:rsid w:val="00707375"/>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38C0"/>
    <w:rsid w:val="007440B4"/>
    <w:rsid w:val="00745147"/>
    <w:rsid w:val="00747E45"/>
    <w:rsid w:val="007509B3"/>
    <w:rsid w:val="007511E6"/>
    <w:rsid w:val="00760AFD"/>
    <w:rsid w:val="0076411D"/>
    <w:rsid w:val="00766BAD"/>
    <w:rsid w:val="00770210"/>
    <w:rsid w:val="007804AD"/>
    <w:rsid w:val="00787C8D"/>
    <w:rsid w:val="00787CBD"/>
    <w:rsid w:val="007904DE"/>
    <w:rsid w:val="007914B9"/>
    <w:rsid w:val="007944F3"/>
    <w:rsid w:val="0079451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47C7A"/>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456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1B2"/>
    <w:rsid w:val="008F35BA"/>
    <w:rsid w:val="00904CD2"/>
    <w:rsid w:val="009078AE"/>
    <w:rsid w:val="0091500A"/>
    <w:rsid w:val="009209E8"/>
    <w:rsid w:val="0092101E"/>
    <w:rsid w:val="00921768"/>
    <w:rsid w:val="009246F6"/>
    <w:rsid w:val="00925A09"/>
    <w:rsid w:val="00925B0B"/>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5DD2"/>
    <w:rsid w:val="009B6100"/>
    <w:rsid w:val="009B7A63"/>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719"/>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A9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E639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36AD"/>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178EF"/>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77F47"/>
    <w:rsid w:val="00C914BD"/>
    <w:rsid w:val="00C91511"/>
    <w:rsid w:val="00C91C1F"/>
    <w:rsid w:val="00C937CA"/>
    <w:rsid w:val="00CA0602"/>
    <w:rsid w:val="00CA194A"/>
    <w:rsid w:val="00CA37D7"/>
    <w:rsid w:val="00CA5013"/>
    <w:rsid w:val="00CA62B0"/>
    <w:rsid w:val="00CB0626"/>
    <w:rsid w:val="00CB0F89"/>
    <w:rsid w:val="00CB2989"/>
    <w:rsid w:val="00CB462E"/>
    <w:rsid w:val="00CB6FD4"/>
    <w:rsid w:val="00CC64C7"/>
    <w:rsid w:val="00CD0EBD"/>
    <w:rsid w:val="00CD3C06"/>
    <w:rsid w:val="00CE4B56"/>
    <w:rsid w:val="00CE647B"/>
    <w:rsid w:val="00CE7824"/>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0FB1"/>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2452"/>
    <w:rsid w:val="00E64321"/>
    <w:rsid w:val="00E718B8"/>
    <w:rsid w:val="00E71B66"/>
    <w:rsid w:val="00E75600"/>
    <w:rsid w:val="00E76318"/>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0276"/>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7F1"/>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C7A18"/>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DDB4197"/>
    <w:rsid w:val="1E4E5761"/>
    <w:rsid w:val="1F5E2753"/>
    <w:rsid w:val="1F8B2882"/>
    <w:rsid w:val="1F9A19B4"/>
    <w:rsid w:val="201E52FF"/>
    <w:rsid w:val="203C0F2E"/>
    <w:rsid w:val="209D3E9F"/>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unhideWhenUsed="0" w:uiPriority="99" w:semiHidden="0" w:name="Date"/>
    <w:lsdException w:qFormat="1" w:unhideWhenUsed="0" w:uiPriority="99" w:semiHidden="0" w:name="Body Text First Indent" w:locked="1"/>
    <w:lsdException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kern w:val="44"/>
      <w:sz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kern w:val="0"/>
      <w:sz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kern w:val="0"/>
      <w:sz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kern w:val="0"/>
      <w:sz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locked/>
    <w:uiPriority w:val="99"/>
    <w:pPr>
      <w:ind w:firstLine="420" w:firstLineChars="200"/>
    </w:pPr>
  </w:style>
  <w:style w:type="paragraph" w:styleId="3">
    <w:name w:val="Body Text Indent"/>
    <w:basedOn w:val="1"/>
    <w:link w:val="65"/>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kern w:val="28"/>
      <w:sz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rPr>
  </w:style>
  <w:style w:type="paragraph" w:styleId="39">
    <w:name w:val="toc 2"/>
    <w:basedOn w:val="1"/>
    <w:next w:val="1"/>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kern w:val="0"/>
      <w:sz w:val="32"/>
    </w:rPr>
  </w:style>
  <w:style w:type="paragraph" w:styleId="45">
    <w:name w:val="annotation subject"/>
    <w:basedOn w:val="19"/>
    <w:next w:val="19"/>
    <w:link w:val="83"/>
    <w:locked/>
    <w:uiPriority w:val="99"/>
    <w:rPr>
      <w:rFonts w:ascii="Calibri" w:hAnsi="Calibri"/>
      <w:b/>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uiPriority w:val="99"/>
    <w:rPr>
      <w:rFonts w:cs="Times New Roman"/>
    </w:rPr>
  </w:style>
  <w:style w:type="character" w:styleId="52">
    <w:name w:val="FollowedHyperlink"/>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locked/>
    <w:uiPriority w:val="99"/>
    <w:rPr>
      <w:rFonts w:ascii="宋体" w:cs="Times New Roman"/>
      <w:sz w:val="18"/>
    </w:rPr>
  </w:style>
  <w:style w:type="character" w:customStyle="1" w:styleId="68">
    <w:name w:val="批注文字 Char1"/>
    <w:link w:val="19"/>
    <w:semiHidden/>
    <w:qFormat/>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qFormat/>
    <w:locked/>
    <w:uiPriority w:val="99"/>
    <w:rPr>
      <w:rFonts w:ascii="宋体" w:hAnsi="Courier New" w:cs="Times New Roman"/>
      <w:sz w:val="21"/>
    </w:rPr>
  </w:style>
  <w:style w:type="character" w:customStyle="1" w:styleId="73">
    <w:name w:val="日期 Char"/>
    <w:link w:val="28"/>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Words>
  <Characters>2388</Characters>
  <Lines>19</Lines>
  <Paragraphs>5</Paragraphs>
  <TotalTime>320</TotalTime>
  <ScaleCrop>false</ScaleCrop>
  <LinksUpToDate>false</LinksUpToDate>
  <CharactersWithSpaces>2801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2021-10-10T03:06:48Z</dcterms:modified>
  <dc:title>工 程 施 工 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279E6053C845438C8BF82354691A9F64</vt:lpwstr>
  </property>
</Properties>
</file>