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2" w:name="_GoBack"/>
      <w:bookmarkEnd w:id="2"/>
    </w:p>
    <w:p>
      <w:pPr>
        <w:pStyle w:val="2"/>
        <w:ind w:firstLine="0" w:firstLineChars="0"/>
        <w:jc w:val="center"/>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lang w:val="en-US" w:eastAsia="zh-CN"/>
        </w:rPr>
        <w:t>校企合作与招生就业服务中心教室墙面涂刷项目采购项目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4</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16</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四</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四</w:t>
      </w:r>
      <w:r>
        <w:rPr>
          <w:rFonts w:hint="eastAsia" w:ascii="楷体_GB2312" w:eastAsia="楷体_GB2312"/>
          <w:b/>
          <w:sz w:val="28"/>
          <w:szCs w:val="28"/>
          <w:u w:val="single"/>
        </w:rPr>
        <w:t>月</w:t>
      </w:r>
    </w:p>
    <w:p>
      <w:pPr>
        <w:pStyle w:val="2"/>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校企合作与招生就业服务中心教室墙面涂刷项目采购项目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560" w:lineRule="exact"/>
        <w:jc w:val="left"/>
        <w:rPr>
          <w:rFonts w:ascii="宋体"/>
          <w:sz w:val="24"/>
          <w:szCs w:val="24"/>
        </w:rPr>
      </w:pPr>
      <w:r>
        <w:rPr>
          <w:rFonts w:hint="eastAsia" w:ascii="宋体" w:hAnsi="宋体"/>
          <w:sz w:val="24"/>
          <w:szCs w:val="24"/>
        </w:rPr>
        <w:t>联系人：布老师</w:t>
      </w:r>
    </w:p>
    <w:p>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pPr>
        <w:adjustRightInd w:val="0"/>
        <w:snapToGrid w:val="0"/>
        <w:spacing w:line="560" w:lineRule="exact"/>
        <w:jc w:val="left"/>
        <w:rPr>
          <w:rFonts w:ascii="宋体"/>
          <w:sz w:val="24"/>
          <w:szCs w:val="24"/>
        </w:rPr>
      </w:pPr>
      <w:r>
        <w:rPr>
          <w:rFonts w:hint="eastAsia" w:ascii="宋体" w:hAnsi="宋体"/>
          <w:sz w:val="24"/>
          <w:szCs w:val="24"/>
        </w:rPr>
        <w:t>二、项目名称：校企合作与招生就业服务中心教室墙面涂刷项目采购项目</w:t>
      </w:r>
    </w:p>
    <w:p>
      <w:pPr>
        <w:adjustRightInd w:val="0"/>
        <w:snapToGrid w:val="0"/>
        <w:spacing w:line="560" w:lineRule="exact"/>
        <w:jc w:val="left"/>
        <w:rPr>
          <w:rFonts w:ascii="宋体"/>
          <w:sz w:val="24"/>
          <w:szCs w:val="24"/>
        </w:rPr>
      </w:pPr>
      <w:r>
        <w:rPr>
          <w:rFonts w:hint="eastAsia" w:ascii="宋体" w:hAnsi="宋体"/>
          <w:sz w:val="24"/>
          <w:szCs w:val="24"/>
        </w:rPr>
        <w:t>三、采购项目概况</w:t>
      </w:r>
    </w:p>
    <w:p>
      <w:pPr>
        <w:adjustRightInd w:val="0"/>
        <w:snapToGrid w:val="0"/>
        <w:spacing w:line="560" w:lineRule="exact"/>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个包：校企合作与招生就业服务中心教室墙面涂刷项目采购项目，详见项目说明。</w:t>
      </w:r>
    </w:p>
    <w:p>
      <w:pPr>
        <w:adjustRightInd w:val="0"/>
        <w:snapToGrid w:val="0"/>
        <w:spacing w:line="560" w:lineRule="exact"/>
        <w:jc w:val="left"/>
        <w:rPr>
          <w:rFonts w:ascii="宋体"/>
          <w:sz w:val="24"/>
          <w:szCs w:val="24"/>
        </w:rPr>
      </w:pPr>
      <w:r>
        <w:rPr>
          <w:rFonts w:hint="eastAsia" w:ascii="宋体" w:hAnsi="宋体"/>
          <w:sz w:val="24"/>
          <w:szCs w:val="24"/>
        </w:rPr>
        <w:t>四、供应商资格要求：</w:t>
      </w:r>
    </w:p>
    <w:p>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560" w:lineRule="exact"/>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560" w:lineRule="exact"/>
        <w:jc w:val="left"/>
        <w:rPr>
          <w:rFonts w:ascii="宋体"/>
          <w:sz w:val="24"/>
          <w:szCs w:val="24"/>
        </w:rPr>
      </w:pPr>
      <w:r>
        <w:rPr>
          <w:rFonts w:hint="eastAsia" w:ascii="宋体" w:hAnsi="宋体"/>
          <w:sz w:val="24"/>
          <w:szCs w:val="24"/>
        </w:rPr>
        <w:t>获取采购文件时间、地点：202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560" w:lineRule="exact"/>
        <w:jc w:val="left"/>
        <w:rPr>
          <w:rFonts w:ascii="宋体"/>
          <w:sz w:val="24"/>
          <w:szCs w:val="24"/>
        </w:rPr>
      </w:pPr>
      <w:r>
        <w:rPr>
          <w:rFonts w:hint="eastAsia" w:ascii="宋体" w:hAnsi="宋体"/>
          <w:sz w:val="24"/>
          <w:szCs w:val="24"/>
        </w:rPr>
        <w:t>报名方式：邮箱报名，报名邮箱：lcsjsxyzbb@lc.shandong.cn，将营业执照和相关资质发到邮箱，注明联系人及电话。</w:t>
      </w:r>
    </w:p>
    <w:p>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pPr>
        <w:adjustRightInd w:val="0"/>
        <w:snapToGrid w:val="0"/>
        <w:spacing w:line="560" w:lineRule="exact"/>
        <w:jc w:val="left"/>
        <w:rPr>
          <w:rFonts w:ascii="宋体" w:hAnsi="宋体"/>
          <w:sz w:val="24"/>
          <w:szCs w:val="24"/>
        </w:rPr>
      </w:pPr>
      <w:r>
        <w:rPr>
          <w:rFonts w:hint="eastAsia" w:ascii="宋体" w:hAnsi="宋体"/>
          <w:sz w:val="24"/>
          <w:szCs w:val="24"/>
        </w:rPr>
        <w:t>六、报价截止日期：202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hAnsi="宋体"/>
          <w:sz w:val="24"/>
          <w:szCs w:val="24"/>
          <w:lang w:val="en-US" w:eastAsia="zh-CN"/>
        </w:rPr>
        <w:t>3</w:t>
      </w:r>
      <w:r>
        <w:rPr>
          <w:rFonts w:hint="eastAsia" w:ascii="宋体" w:hAnsi="宋体"/>
          <w:sz w:val="24"/>
          <w:szCs w:val="24"/>
        </w:rPr>
        <w:t>0分（北京时间）</w:t>
      </w:r>
    </w:p>
    <w:p>
      <w:pPr>
        <w:adjustRightInd w:val="0"/>
        <w:snapToGrid w:val="0"/>
        <w:spacing w:line="560" w:lineRule="exact"/>
        <w:jc w:val="left"/>
        <w:rPr>
          <w:rFonts w:ascii="宋体" w:hAnsi="宋体"/>
          <w:sz w:val="24"/>
          <w:szCs w:val="24"/>
        </w:rPr>
      </w:pPr>
      <w:r>
        <w:rPr>
          <w:rFonts w:hint="eastAsia" w:ascii="宋体" w:hAnsi="宋体"/>
          <w:sz w:val="24"/>
          <w:szCs w:val="24"/>
        </w:rPr>
        <w:t>七、谈判日期：202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hAnsi="宋体"/>
          <w:sz w:val="24"/>
          <w:szCs w:val="24"/>
          <w:lang w:val="en-US" w:eastAsia="zh-CN"/>
        </w:rPr>
        <w:t>3</w:t>
      </w:r>
      <w:r>
        <w:rPr>
          <w:rFonts w:hint="eastAsia" w:ascii="宋体" w:hAnsi="宋体"/>
          <w:sz w:val="24"/>
          <w:szCs w:val="24"/>
        </w:rPr>
        <w:t>0分（北京时间）</w:t>
      </w:r>
    </w:p>
    <w:p>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九、此公告在聊城市技师学院网站</w:t>
      </w:r>
      <w:r>
        <w:rPr>
          <w:rFonts w:hint="eastAsia" w:ascii="宋体" w:hAnsi="宋体"/>
          <w:sz w:val="24"/>
          <w:szCs w:val="24"/>
          <w:lang w:eastAsia="zh-CN"/>
        </w:rPr>
        <w:t>、</w:t>
      </w:r>
      <w:r>
        <w:rPr>
          <w:rFonts w:hint="eastAsia" w:ascii="宋体" w:hAnsi="宋体"/>
          <w:sz w:val="24"/>
          <w:szCs w:val="24"/>
        </w:rPr>
        <w:t>财务处网站中公示</w:t>
      </w:r>
    </w:p>
    <w:p>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17</w:t>
      </w:r>
      <w:r>
        <w:rPr>
          <w:rFonts w:hint="eastAsia" w:ascii="宋体" w:hAnsi="宋体"/>
          <w:sz w:val="24"/>
          <w:szCs w:val="24"/>
        </w:rPr>
        <w:t>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项目名称</w:t>
            </w:r>
          </w:p>
        </w:tc>
        <w:tc>
          <w:tcPr>
            <w:tcW w:w="8127" w:type="dxa"/>
            <w:vAlign w:val="center"/>
          </w:tcPr>
          <w:p>
            <w:pPr>
              <w:spacing w:line="276" w:lineRule="auto"/>
              <w:rPr>
                <w:rFonts w:ascii="宋体"/>
                <w:bCs/>
                <w:szCs w:val="21"/>
              </w:rPr>
            </w:pPr>
            <w:r>
              <w:rPr>
                <w:rFonts w:hint="eastAsia" w:ascii="宋体" w:hAnsi="宋体"/>
                <w:sz w:val="24"/>
                <w:szCs w:val="24"/>
              </w:rPr>
              <w:t>校企合作与招生就业服务中心教室墙面涂刷项目采购项目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采购人</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采购内容</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本项目共一个标段，主要内容为校企合作与招生就业服务中心教室墙面涂刷项目采购项目。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供应商资格要求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（1）具备中华人民共和国合法营业执照及相应的经营范围；</w:t>
            </w:r>
          </w:p>
          <w:p>
            <w:pPr>
              <w:spacing w:line="276" w:lineRule="auto"/>
              <w:jc w:val="left"/>
              <w:rPr>
                <w:rFonts w:ascii="宋体"/>
                <w:szCs w:val="21"/>
              </w:rPr>
            </w:pPr>
            <w:r>
              <w:rPr>
                <w:rFonts w:hint="eastAsia" w:ascii="宋体" w:hAnsi="宋体"/>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lang w:val="en-US" w:eastAsia="zh-CN"/>
              </w:rPr>
              <w:t>10750</w:t>
            </w:r>
            <w:r>
              <w:rPr>
                <w:rFonts w:hint="eastAsia" w:ascii="宋体" w:hAnsi="宋体" w:eastAsia="宋体"/>
                <w:bCs/>
                <w:color w:val="000000"/>
                <w:spacing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采购方式</w:t>
            </w:r>
          </w:p>
        </w:tc>
        <w:tc>
          <w:tcPr>
            <w:tcW w:w="8127" w:type="dxa"/>
            <w:vAlign w:val="center"/>
          </w:tcPr>
          <w:p>
            <w:pPr>
              <w:spacing w:line="276" w:lineRule="auto"/>
              <w:rPr>
                <w:rFonts w:ascii="宋体"/>
                <w:szCs w:val="21"/>
              </w:rPr>
            </w:pPr>
            <w:r>
              <w:rPr>
                <w:rFonts w:hint="eastAsia" w:ascii="宋体" w:hAnsi="宋体"/>
                <w:bCs/>
                <w:color w:val="000000"/>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质量要求</w:t>
            </w:r>
          </w:p>
        </w:tc>
        <w:tc>
          <w:tcPr>
            <w:tcW w:w="8127" w:type="dxa"/>
            <w:vAlign w:val="center"/>
          </w:tcPr>
          <w:p>
            <w:pPr>
              <w:pStyle w:val="23"/>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color w:val="00000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服务要求</w:t>
            </w:r>
          </w:p>
        </w:tc>
        <w:tc>
          <w:tcPr>
            <w:tcW w:w="8127" w:type="dxa"/>
            <w:vAlign w:val="center"/>
          </w:tcPr>
          <w:p>
            <w:pPr>
              <w:spacing w:line="276" w:lineRule="auto"/>
              <w:jc w:val="left"/>
              <w:rPr>
                <w:rFonts w:ascii="宋体" w:hAnsi="宋体"/>
                <w:sz w:val="24"/>
                <w:szCs w:val="24"/>
                <w:highlight w:val="none"/>
              </w:rPr>
            </w:pPr>
            <w:r>
              <w:rPr>
                <w:rFonts w:hint="eastAsia" w:ascii="宋体" w:hAnsi="宋体"/>
                <w:sz w:val="24"/>
                <w:szCs w:val="24"/>
                <w:highlight w:val="none"/>
              </w:rPr>
              <w:t>10个日历天，每延迟1日支付200元违约金。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结算方式</w:t>
            </w:r>
          </w:p>
        </w:tc>
        <w:tc>
          <w:tcPr>
            <w:tcW w:w="8127" w:type="dxa"/>
            <w:vAlign w:val="center"/>
          </w:tcPr>
          <w:p>
            <w:pPr>
              <w:spacing w:line="276" w:lineRule="auto"/>
              <w:jc w:val="left"/>
              <w:rPr>
                <w:rFonts w:ascii="宋体" w:hAnsi="宋体"/>
                <w:sz w:val="24"/>
                <w:szCs w:val="24"/>
                <w:highlight w:val="none"/>
              </w:rPr>
            </w:pPr>
            <w:r>
              <w:rPr>
                <w:rFonts w:hint="eastAsia" w:ascii="宋体" w:hAnsi="宋体"/>
                <w:sz w:val="24"/>
                <w:szCs w:val="24"/>
                <w:highlight w:val="none"/>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付款方式</w:t>
            </w:r>
          </w:p>
        </w:tc>
        <w:tc>
          <w:tcPr>
            <w:tcW w:w="8127" w:type="dxa"/>
            <w:vAlign w:val="center"/>
          </w:tcPr>
          <w:p>
            <w:pPr>
              <w:pStyle w:val="102"/>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完工并验收合格后付至据实结算金额的90%，剩余10%无质量问题一年后无息付清。（依据财政实际拨款情况，进行支付）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获取文件时间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资金来源</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报价文件份数</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勘察现场</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hAnsi="宋体"/>
                <w:sz w:val="24"/>
                <w:szCs w:val="24"/>
                <w:lang w:val="en-US" w:eastAsia="zh-CN"/>
              </w:rPr>
              <w:t>3</w:t>
            </w:r>
            <w:r>
              <w:rPr>
                <w:rFonts w:hint="eastAsia" w:ascii="宋体" w:hAnsi="宋体"/>
                <w:sz w:val="24"/>
                <w:szCs w:val="24"/>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hAnsi="宋体"/>
                <w:sz w:val="24"/>
                <w:szCs w:val="24"/>
                <w:lang w:val="en-US" w:eastAsia="zh-CN"/>
              </w:rPr>
              <w:t>3</w:t>
            </w:r>
            <w:r>
              <w:rPr>
                <w:rFonts w:hint="eastAsia" w:ascii="宋体" w:hAnsi="宋体"/>
                <w:sz w:val="24"/>
                <w:szCs w:val="24"/>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highlight w:val="none"/>
        </w:rPr>
      </w:pPr>
      <w:r>
        <w:rPr>
          <w:rFonts w:hint="eastAsia"/>
          <w:b/>
          <w:sz w:val="24"/>
          <w:szCs w:val="24"/>
        </w:rPr>
        <w:t>附件：</w:t>
      </w:r>
    </w:p>
    <w:p>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pPr>
        <w:tabs>
          <w:tab w:val="left" w:pos="0"/>
          <w:tab w:val="left" w:pos="180"/>
          <w:tab w:val="left" w:pos="360"/>
        </w:tabs>
        <w:spacing w:line="276" w:lineRule="auto"/>
        <w:rPr>
          <w:sz w:val="24"/>
          <w:szCs w:val="24"/>
          <w:highlight w:val="none"/>
        </w:rPr>
      </w:pPr>
    </w:p>
    <w:p>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pPr>
        <w:tabs>
          <w:tab w:val="left" w:pos="0"/>
          <w:tab w:val="left" w:pos="180"/>
          <w:tab w:val="left" w:pos="360"/>
        </w:tabs>
        <w:spacing w:line="276" w:lineRule="auto"/>
        <w:rPr>
          <w:rFonts w:eastAsia="仿宋_GB2312"/>
          <w:sz w:val="24"/>
          <w:szCs w:val="24"/>
          <w:highlight w:val="none"/>
        </w:rPr>
      </w:pPr>
    </w:p>
    <w:p>
      <w:pPr>
        <w:pStyle w:val="2"/>
        <w:ind w:firstLine="400"/>
        <w:rPr>
          <w:highlight w:val="none"/>
        </w:rPr>
      </w:pPr>
    </w:p>
    <w:p>
      <w:pPr>
        <w:pStyle w:val="2"/>
        <w:ind w:firstLine="400"/>
        <w:rPr>
          <w:highlight w:val="none"/>
        </w:rPr>
      </w:pPr>
    </w:p>
    <w:p>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pPr>
              <w:spacing w:line="276" w:lineRule="auto"/>
              <w:jc w:val="center"/>
              <w:rPr>
                <w:rFonts w:ascii="宋体"/>
                <w:b/>
                <w:szCs w:val="21"/>
                <w:highlight w:val="none"/>
              </w:rPr>
            </w:pPr>
            <w:r>
              <w:rPr>
                <w:rFonts w:hint="eastAsia" w:ascii="宋体" w:hAnsi="宋体"/>
                <w:b/>
                <w:szCs w:val="21"/>
                <w:highlight w:val="none"/>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highlight w:val="none"/>
              </w:rPr>
            </w:pPr>
          </w:p>
        </w:tc>
        <w:tc>
          <w:tcPr>
            <w:tcW w:w="5308" w:type="dxa"/>
            <w:vAlign w:val="center"/>
          </w:tcPr>
          <w:p>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pPr>
              <w:spacing w:line="276" w:lineRule="auto"/>
              <w:jc w:val="center"/>
              <w:rPr>
                <w:rFonts w:ascii="宋体"/>
                <w:b/>
                <w:szCs w:val="21"/>
                <w:highlight w:val="none"/>
              </w:rPr>
            </w:pPr>
            <w:r>
              <w:rPr>
                <w:rFonts w:hint="eastAsia" w:ascii="宋体" w:hAnsi="宋体"/>
                <w:b/>
                <w:szCs w:val="21"/>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pPr>
              <w:spacing w:line="276" w:lineRule="auto"/>
              <w:rPr>
                <w:rFonts w:ascii="宋体"/>
                <w:b/>
                <w:kern w:val="0"/>
                <w:szCs w:val="21"/>
                <w:highlight w:val="none"/>
              </w:rPr>
            </w:pPr>
            <w:r>
              <w:rPr>
                <w:rFonts w:hint="eastAsia" w:ascii="宋体" w:hAnsi="宋体"/>
                <w:b/>
                <w:kern w:val="0"/>
                <w:szCs w:val="21"/>
                <w:highlight w:val="none"/>
              </w:rPr>
              <w:t>大写：       元</w:t>
            </w:r>
          </w:p>
          <w:p>
            <w:pPr>
              <w:spacing w:line="276" w:lineRule="auto"/>
              <w:rPr>
                <w:rFonts w:ascii="宋体"/>
                <w:b/>
                <w:kern w:val="0"/>
                <w:szCs w:val="21"/>
                <w:highlight w:val="none"/>
              </w:rPr>
            </w:pPr>
            <w:r>
              <w:rPr>
                <w:rFonts w:hint="eastAsia" w:ascii="宋体" w:hAnsi="宋体"/>
                <w:b/>
                <w:kern w:val="0"/>
                <w:szCs w:val="21"/>
                <w:highlight w:val="none"/>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rPr>
              <w:t>工期</w:t>
            </w:r>
          </w:p>
        </w:tc>
        <w:tc>
          <w:tcPr>
            <w:tcW w:w="3859" w:type="dxa"/>
            <w:vAlign w:val="center"/>
          </w:tcPr>
          <w:p>
            <w:pPr>
              <w:spacing w:line="276" w:lineRule="auto"/>
              <w:rPr>
                <w:rFonts w:asci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pPr>
              <w:spacing w:line="276" w:lineRule="auto"/>
              <w:rPr>
                <w:rFonts w:ascii="宋体"/>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pPr>
              <w:spacing w:line="276" w:lineRule="auto"/>
              <w:rPr>
                <w:rFonts w:ascii="宋体"/>
                <w:kern w:val="0"/>
                <w:szCs w:val="21"/>
                <w:highlight w:val="none"/>
                <w:u w:val="single"/>
              </w:rPr>
            </w:pPr>
          </w:p>
        </w:tc>
      </w:tr>
    </w:tbl>
    <w:p>
      <w:pPr>
        <w:spacing w:line="276" w:lineRule="auto"/>
        <w:rPr>
          <w:b/>
          <w:szCs w:val="21"/>
          <w:highlight w:val="none"/>
          <w:u w:val="single"/>
        </w:rPr>
      </w:pPr>
      <w:r>
        <w:rPr>
          <w:rFonts w:hint="eastAsia"/>
          <w:b/>
          <w:szCs w:val="21"/>
          <w:highlight w:val="none"/>
        </w:rPr>
        <w:t>供应商名称（公章）：</w:t>
      </w:r>
    </w:p>
    <w:p>
      <w:pPr>
        <w:spacing w:line="276" w:lineRule="auto"/>
        <w:rPr>
          <w:b/>
          <w:szCs w:val="21"/>
          <w:highlight w:val="none"/>
        </w:rPr>
      </w:pPr>
      <w:r>
        <w:rPr>
          <w:rFonts w:hint="eastAsia"/>
          <w:b/>
          <w:szCs w:val="21"/>
          <w:highlight w:val="none"/>
        </w:rPr>
        <w:t>法定代表人或授权代理人签字：</w:t>
      </w:r>
    </w:p>
    <w:p>
      <w:pPr>
        <w:spacing w:line="276" w:lineRule="auto"/>
        <w:rPr>
          <w:b/>
          <w:sz w:val="24"/>
          <w:highlight w:val="none"/>
        </w:rPr>
      </w:pPr>
    </w:p>
    <w:p>
      <w:pPr>
        <w:pStyle w:val="2"/>
        <w:ind w:firstLine="400"/>
        <w:rPr>
          <w:highlight w:val="none"/>
        </w:rPr>
      </w:pPr>
    </w:p>
    <w:p>
      <w:pPr>
        <w:pStyle w:val="2"/>
        <w:ind w:firstLine="0" w:firstLineChars="0"/>
        <w:rPr>
          <w:highlight w:val="none"/>
        </w:rPr>
      </w:pPr>
      <w:r>
        <w:rPr>
          <w:highlight w:val="none"/>
        </w:rPr>
        <w:t>注：必须付分项报价表</w:t>
      </w:r>
    </w:p>
    <w:p>
      <w:pPr>
        <w:spacing w:line="480" w:lineRule="auto"/>
        <w:rPr>
          <w:b/>
          <w:sz w:val="24"/>
          <w:szCs w:val="24"/>
          <w:highlight w:val="none"/>
        </w:rPr>
      </w:pPr>
    </w:p>
    <w:p>
      <w:pPr>
        <w:spacing w:line="480" w:lineRule="auto"/>
        <w:rPr>
          <w:b/>
          <w:sz w:val="24"/>
          <w:szCs w:val="24"/>
          <w:highlight w:val="none"/>
        </w:rPr>
      </w:pPr>
    </w:p>
    <w:p>
      <w:pPr>
        <w:spacing w:line="480" w:lineRule="auto"/>
        <w:rPr>
          <w:b/>
          <w:sz w:val="24"/>
          <w:szCs w:val="24"/>
          <w:highlight w:val="none"/>
        </w:rPr>
      </w:pPr>
      <w:r>
        <w:rPr>
          <w:rFonts w:hint="eastAsia"/>
          <w:b/>
          <w:sz w:val="24"/>
          <w:szCs w:val="24"/>
          <w:highlight w:val="none"/>
        </w:rPr>
        <w:t>附件：</w:t>
      </w:r>
    </w:p>
    <w:p>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84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6"/>
        <w:gridCol w:w="1665"/>
        <w:gridCol w:w="947"/>
        <w:gridCol w:w="1537"/>
        <w:gridCol w:w="1800"/>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需求数量</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1161"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墙面涂刷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p>
        </w:tc>
        <w:tc>
          <w:tcPr>
            <w:tcW w:w="18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color w:val="000000"/>
                <w:sz w:val="22"/>
                <w:szCs w:val="22"/>
                <w:highlight w:val="none"/>
              </w:rPr>
              <w:t>含材料、运输、人工费等。</w:t>
            </w:r>
          </w:p>
        </w:tc>
      </w:tr>
    </w:tbl>
    <w:p>
      <w:pPr>
        <w:pStyle w:val="2"/>
        <w:ind w:firstLine="0" w:firstLineChars="0"/>
        <w:rPr>
          <w:color w:val="000000" w:themeColor="text1"/>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三、项目要求：</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1、墙面腻子找补一遍。</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2、墙面刷白色乳胶漆二遍，乳胶漆甲醛含量符合GB／T 23993-2009要求。</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3、因刷乳胶漆污染的物品清理干净，卫生达到甲方满意。</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4、施工中产生的垃圾清运出校院，自行处理，费用乙方承担。</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5、施工中出现的一切事故，由乙方承担，与甲方无关。</w:t>
      </w:r>
    </w:p>
    <w:p>
      <w:pPr>
        <w:pStyle w:val="258"/>
        <w:tabs>
          <w:tab w:val="left" w:pos="0"/>
          <w:tab w:val="left" w:pos="180"/>
          <w:tab w:val="left" w:pos="360"/>
        </w:tabs>
        <w:spacing w:line="276" w:lineRule="auto"/>
        <w:ind w:firstLine="418" w:firstLineChars="190"/>
        <w:rPr>
          <w:rFonts w:hint="default"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6、墙面上无用的宣传框、牌匾，由乙方摘除，放置甲方指定地点。</w:t>
      </w:r>
    </w:p>
    <w:p>
      <w:pPr>
        <w:pStyle w:val="258"/>
        <w:tabs>
          <w:tab w:val="left" w:pos="0"/>
          <w:tab w:val="left" w:pos="180"/>
          <w:tab w:val="left" w:pos="360"/>
        </w:tabs>
        <w:spacing w:line="276" w:lineRule="auto"/>
        <w:ind w:firstLine="0" w:firstLineChars="0"/>
        <w:jc w:val="center"/>
        <w:rPr>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四、用料及工程量清单：</w:t>
      </w:r>
    </w:p>
    <w:tbl>
      <w:tblPr>
        <w:tblStyle w:val="48"/>
        <w:tblW w:w="96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5"/>
        <w:gridCol w:w="1635"/>
        <w:gridCol w:w="1281"/>
        <w:gridCol w:w="1316"/>
        <w:gridCol w:w="1721"/>
        <w:gridCol w:w="1088"/>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Style w:val="300"/>
                <w:lang w:val="en-US" w:eastAsia="zh-CN" w:bidi="ar"/>
              </w:rPr>
              <w:t>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Style w:val="300"/>
                <w:lang w:val="en-US" w:eastAsia="zh-CN" w:bidi="ar"/>
              </w:rPr>
              <w:t>技术参数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Style w:val="300"/>
                <w:lang w:val="en-US" w:eastAsia="zh-CN" w:bidi="ar"/>
              </w:rPr>
              <w:t>计量单位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Style w:val="300"/>
                <w:lang w:val="en-US" w:eastAsia="zh-CN" w:bidi="ar"/>
              </w:rPr>
              <w:t>需求数量</w:t>
            </w:r>
          </w:p>
        </w:tc>
        <w:tc>
          <w:tcPr>
            <w:tcW w:w="1721"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Style w:val="300"/>
                <w:lang w:val="en-US" w:eastAsia="zh-CN" w:bidi="ar"/>
              </w:rPr>
              <w:t>预算单价（元）</w:t>
            </w:r>
          </w:p>
        </w:tc>
        <w:tc>
          <w:tcPr>
            <w:tcW w:w="1088"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jc w:val="center"/>
              <w:textAlignment w:val="bottom"/>
              <w:rPr>
                <w:rStyle w:val="300"/>
                <w:rFonts w:hint="default"/>
                <w:lang w:val="en-US" w:eastAsia="zh-CN" w:bidi="ar"/>
              </w:rPr>
            </w:pPr>
            <w:r>
              <w:rPr>
                <w:rStyle w:val="300"/>
                <w:rFonts w:hint="eastAsia"/>
                <w:lang w:val="en-US" w:eastAsia="zh-CN" w:bidi="ar"/>
              </w:rPr>
              <w:t>预算总价</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Style w:val="30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墙面涂刷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白色乳胶漆（甲醛含量符合GB／T 23993-2009）</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平发米</w:t>
            </w:r>
          </w:p>
        </w:tc>
        <w:tc>
          <w:tcPr>
            <w:tcW w:w="131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1075</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10</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firstLine="180" w:firstLineChars="100"/>
              <w:jc w:val="both"/>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10750</w:t>
            </w:r>
          </w:p>
        </w:tc>
        <w:tc>
          <w:tcPr>
            <w:tcW w:w="1088" w:type="dxa"/>
            <w:vMerge w:val="restart"/>
            <w:tcBorders>
              <w:top w:val="single" w:color="000000" w:sz="4" w:space="0"/>
              <w:left w:val="single" w:color="auto" w:sz="4" w:space="0"/>
              <w:right w:val="single" w:color="000000" w:sz="4" w:space="0"/>
            </w:tcBorders>
            <w:shd w:val="clear" w:color="auto" w:fill="auto"/>
            <w:noWrap/>
            <w:vAlign w:val="bottom"/>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含运输、耗材、人工。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合计</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10750</w:t>
            </w:r>
          </w:p>
        </w:tc>
        <w:tc>
          <w:tcPr>
            <w:tcW w:w="1088" w:type="dxa"/>
            <w:vMerge w:val="continue"/>
            <w:tcBorders>
              <w:left w:val="single" w:color="auto"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bl>
    <w:p>
      <w:pPr>
        <w:pStyle w:val="258"/>
        <w:tabs>
          <w:tab w:val="left" w:pos="0"/>
          <w:tab w:val="left" w:pos="180"/>
          <w:tab w:val="left" w:pos="360"/>
        </w:tabs>
        <w:spacing w:line="276" w:lineRule="auto"/>
        <w:ind w:firstLine="0" w:firstLineChars="0"/>
        <w:rPr>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w:t>
      </w:r>
      <w:r>
        <w:rPr>
          <w:rFonts w:hint="eastAsia" w:ascii="宋体" w:hAnsi="宋体"/>
          <w:b/>
          <w:sz w:val="24"/>
          <w:szCs w:val="24"/>
          <w:lang w:val="en-US" w:eastAsia="zh-CN"/>
        </w:rPr>
        <w:t>包括耗材、运输、人工费、税费</w:t>
      </w:r>
      <w:r>
        <w:rPr>
          <w:rFonts w:hint="eastAsia" w:ascii="宋体" w:hAnsi="宋体"/>
          <w:b/>
          <w:sz w:val="24"/>
          <w:szCs w:val="24"/>
        </w:rPr>
        <w:t>等。</w:t>
      </w:r>
    </w:p>
    <w:p>
      <w:pPr>
        <w:ind w:firstLine="964" w:firstLineChars="400"/>
        <w:rPr>
          <w:rFonts w:ascii="宋体" w:hAnsi="宋体"/>
          <w:b/>
          <w:sz w:val="24"/>
          <w:szCs w:val="24"/>
        </w:rPr>
      </w:pPr>
      <w:r>
        <w:rPr>
          <w:rFonts w:hint="eastAsia" w:ascii="宋体" w:hAnsi="宋体"/>
          <w:b/>
          <w:sz w:val="24"/>
          <w:szCs w:val="24"/>
        </w:rPr>
        <w:t>2、各单价报价均不能超预算单价。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5241F07"/>
    <w:rsid w:val="054E7908"/>
    <w:rsid w:val="05C55124"/>
    <w:rsid w:val="07B922C3"/>
    <w:rsid w:val="08BF7794"/>
    <w:rsid w:val="09D27438"/>
    <w:rsid w:val="0D9378B6"/>
    <w:rsid w:val="11BC3C7C"/>
    <w:rsid w:val="133E4AA9"/>
    <w:rsid w:val="14073642"/>
    <w:rsid w:val="155013FC"/>
    <w:rsid w:val="16220303"/>
    <w:rsid w:val="163B139F"/>
    <w:rsid w:val="19094ED0"/>
    <w:rsid w:val="194417AD"/>
    <w:rsid w:val="1A7254D6"/>
    <w:rsid w:val="1BE804D9"/>
    <w:rsid w:val="1C790F1A"/>
    <w:rsid w:val="1D3E6C48"/>
    <w:rsid w:val="1D4B2E52"/>
    <w:rsid w:val="249917FE"/>
    <w:rsid w:val="262B023E"/>
    <w:rsid w:val="300F0BC6"/>
    <w:rsid w:val="30507EBF"/>
    <w:rsid w:val="31D41ACA"/>
    <w:rsid w:val="35BE2E72"/>
    <w:rsid w:val="3C141F51"/>
    <w:rsid w:val="3F1E091D"/>
    <w:rsid w:val="46791F9D"/>
    <w:rsid w:val="46B17416"/>
    <w:rsid w:val="48A759E8"/>
    <w:rsid w:val="4B2500E2"/>
    <w:rsid w:val="4C7D56AE"/>
    <w:rsid w:val="530807FB"/>
    <w:rsid w:val="569F1AF1"/>
    <w:rsid w:val="57230D90"/>
    <w:rsid w:val="5AB30825"/>
    <w:rsid w:val="5ABF7577"/>
    <w:rsid w:val="5B092532"/>
    <w:rsid w:val="616C351D"/>
    <w:rsid w:val="616E7593"/>
    <w:rsid w:val="61B74AB7"/>
    <w:rsid w:val="622E1AC5"/>
    <w:rsid w:val="68A5389A"/>
    <w:rsid w:val="72EB0EF9"/>
    <w:rsid w:val="73CB7283"/>
    <w:rsid w:val="75855C54"/>
    <w:rsid w:val="76C23869"/>
    <w:rsid w:val="785106F5"/>
    <w:rsid w:val="7A0E0DD8"/>
    <w:rsid w:val="7B0B6013"/>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autoRedefine/>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autoRedefine/>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autoRedefine/>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autoRedefine/>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autoRedefine/>
    <w:semiHidden/>
    <w:qFormat/>
    <w:locked/>
    <w:uiPriority w:val="99"/>
    <w:pPr>
      <w:ind w:firstLine="420" w:firstLineChars="200"/>
    </w:pPr>
  </w:style>
  <w:style w:type="paragraph" w:styleId="3">
    <w:name w:val="Body Text Indent"/>
    <w:basedOn w:val="1"/>
    <w:link w:val="66"/>
    <w:autoRedefine/>
    <w:qFormat/>
    <w:uiPriority w:val="99"/>
    <w:pPr>
      <w:ind w:firstLine="570"/>
    </w:pPr>
    <w:rPr>
      <w:kern w:val="0"/>
      <w:sz w:val="20"/>
    </w:rPr>
  </w:style>
  <w:style w:type="paragraph" w:styleId="11">
    <w:name w:val="Normal Indent"/>
    <w:basedOn w:val="1"/>
    <w:link w:val="124"/>
    <w:autoRedefine/>
    <w:qFormat/>
    <w:uiPriority w:val="99"/>
    <w:pPr>
      <w:ind w:firstLine="420" w:firstLineChars="200"/>
    </w:pPr>
    <w:rPr>
      <w:kern w:val="0"/>
      <w:sz w:val="20"/>
    </w:rPr>
  </w:style>
  <w:style w:type="paragraph" w:styleId="14">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5">
    <w:name w:val="List Bullet 4"/>
    <w:basedOn w:val="1"/>
    <w:autoRedefine/>
    <w:qFormat/>
    <w:locked/>
    <w:uiPriority w:val="99"/>
    <w:pPr>
      <w:numPr>
        <w:ilvl w:val="0"/>
        <w:numId w:val="2"/>
      </w:numPr>
      <w:tabs>
        <w:tab w:val="left" w:pos="1620"/>
      </w:tabs>
    </w:pPr>
    <w:rPr>
      <w:rFonts w:ascii="Calibri" w:hAnsi="Calibri"/>
      <w:szCs w:val="24"/>
    </w:rPr>
  </w:style>
  <w:style w:type="paragraph" w:styleId="16">
    <w:name w:val="List Number"/>
    <w:basedOn w:val="1"/>
    <w:autoRedefine/>
    <w:qFormat/>
    <w:locked/>
    <w:uiPriority w:val="99"/>
    <w:pPr>
      <w:numPr>
        <w:ilvl w:val="0"/>
        <w:numId w:val="1"/>
      </w:numPr>
      <w:tabs>
        <w:tab w:val="left" w:pos="360"/>
      </w:tabs>
    </w:pPr>
    <w:rPr>
      <w:rFonts w:ascii="Calibri" w:hAnsi="Calibri"/>
      <w:szCs w:val="24"/>
    </w:rPr>
  </w:style>
  <w:style w:type="paragraph" w:styleId="17">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autoRedefine/>
    <w:qFormat/>
    <w:locked/>
    <w:uiPriority w:val="99"/>
    <w:pPr>
      <w:shd w:val="clear" w:color="auto" w:fill="000080"/>
    </w:pPr>
    <w:rPr>
      <w:rFonts w:ascii="宋体"/>
      <w:kern w:val="0"/>
      <w:sz w:val="18"/>
      <w:szCs w:val="18"/>
    </w:rPr>
  </w:style>
  <w:style w:type="paragraph" w:styleId="19">
    <w:name w:val="annotation text"/>
    <w:basedOn w:val="1"/>
    <w:link w:val="69"/>
    <w:autoRedefine/>
    <w:qFormat/>
    <w:locked/>
    <w:uiPriority w:val="99"/>
    <w:pPr>
      <w:jc w:val="left"/>
    </w:pPr>
    <w:rPr>
      <w:kern w:val="0"/>
      <w:sz w:val="20"/>
    </w:rPr>
  </w:style>
  <w:style w:type="paragraph" w:styleId="20">
    <w:name w:val="Salutation"/>
    <w:basedOn w:val="1"/>
    <w:next w:val="1"/>
    <w:link w:val="70"/>
    <w:autoRedefine/>
    <w:qFormat/>
    <w:uiPriority w:val="99"/>
    <w:rPr>
      <w:kern w:val="0"/>
      <w:sz w:val="20"/>
    </w:rPr>
  </w:style>
  <w:style w:type="paragraph" w:styleId="21">
    <w:name w:val="Body Text 3"/>
    <w:basedOn w:val="1"/>
    <w:link w:val="71"/>
    <w:autoRedefine/>
    <w:qFormat/>
    <w:locked/>
    <w:uiPriority w:val="99"/>
    <w:pPr>
      <w:spacing w:after="120"/>
    </w:pPr>
    <w:rPr>
      <w:kern w:val="0"/>
      <w:sz w:val="16"/>
      <w:szCs w:val="16"/>
    </w:rPr>
  </w:style>
  <w:style w:type="paragraph" w:styleId="22">
    <w:name w:val="Body Text"/>
    <w:basedOn w:val="1"/>
    <w:link w:val="72"/>
    <w:autoRedefine/>
    <w:qFormat/>
    <w:uiPriority w:val="99"/>
    <w:rPr>
      <w:kern w:val="0"/>
      <w:sz w:val="20"/>
    </w:rPr>
  </w:style>
  <w:style w:type="paragraph" w:styleId="23">
    <w:name w:val="index 4"/>
    <w:basedOn w:val="1"/>
    <w:next w:val="1"/>
    <w:autoRedefine/>
    <w:qFormat/>
    <w:locked/>
    <w:uiPriority w:val="99"/>
    <w:pPr>
      <w:ind w:left="600" w:leftChars="600"/>
    </w:pPr>
    <w:rPr>
      <w:rFonts w:ascii="Calibri" w:hAnsi="Calibri"/>
    </w:rPr>
  </w:style>
  <w:style w:type="paragraph" w:styleId="24">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5">
    <w:name w:val="toc 3"/>
    <w:basedOn w:val="26"/>
    <w:next w:val="26"/>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autoRedefine/>
    <w:qFormat/>
    <w:uiPriority w:val="99"/>
    <w:pPr>
      <w:spacing w:line="500" w:lineRule="exact"/>
      <w:ind w:left="1000"/>
    </w:pPr>
    <w:rPr>
      <w:rFonts w:ascii="Calibri" w:hAnsi="Calibri" w:cs="宋体"/>
      <w:sz w:val="24"/>
    </w:rPr>
  </w:style>
  <w:style w:type="paragraph" w:styleId="27">
    <w:name w:val="Plain Text"/>
    <w:basedOn w:val="1"/>
    <w:link w:val="73"/>
    <w:autoRedefine/>
    <w:qFormat/>
    <w:uiPriority w:val="99"/>
    <w:rPr>
      <w:rFonts w:ascii="宋体" w:hAnsi="Courier New"/>
      <w:kern w:val="0"/>
      <w:szCs w:val="21"/>
    </w:rPr>
  </w:style>
  <w:style w:type="paragraph" w:styleId="28">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autoRedefine/>
    <w:qFormat/>
    <w:uiPriority w:val="99"/>
    <w:pPr>
      <w:ind w:left="100" w:leftChars="2500"/>
    </w:pPr>
    <w:rPr>
      <w:kern w:val="0"/>
      <w:sz w:val="20"/>
    </w:rPr>
  </w:style>
  <w:style w:type="paragraph" w:styleId="30">
    <w:name w:val="Body Text Indent 2"/>
    <w:basedOn w:val="1"/>
    <w:link w:val="75"/>
    <w:autoRedefine/>
    <w:qFormat/>
    <w:uiPriority w:val="99"/>
    <w:pPr>
      <w:spacing w:line="440" w:lineRule="exact"/>
      <w:ind w:firstLine="602" w:firstLineChars="200"/>
    </w:pPr>
    <w:rPr>
      <w:kern w:val="0"/>
      <w:sz w:val="20"/>
    </w:rPr>
  </w:style>
  <w:style w:type="paragraph" w:styleId="31">
    <w:name w:val="Balloon Text"/>
    <w:basedOn w:val="1"/>
    <w:link w:val="76"/>
    <w:autoRedefine/>
    <w:qFormat/>
    <w:uiPriority w:val="99"/>
    <w:rPr>
      <w:kern w:val="0"/>
      <w:sz w:val="2"/>
    </w:rPr>
  </w:style>
  <w:style w:type="paragraph" w:styleId="32">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autoRedefine/>
    <w:qFormat/>
    <w:uiPriority w:val="99"/>
  </w:style>
  <w:style w:type="paragraph" w:styleId="35">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locked/>
    <w:uiPriority w:val="99"/>
    <w:pPr>
      <w:ind w:left="200" w:hanging="200" w:hangingChars="200"/>
    </w:pPr>
    <w:rPr>
      <w:rFonts w:ascii="Calibri" w:hAnsi="Calibri"/>
      <w:sz w:val="28"/>
      <w:szCs w:val="24"/>
    </w:rPr>
  </w:style>
  <w:style w:type="paragraph" w:styleId="38">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autoRedefine/>
    <w:qFormat/>
    <w:locked/>
    <w:uiPriority w:val="99"/>
    <w:pPr>
      <w:spacing w:after="120"/>
      <w:ind w:left="420" w:leftChars="200"/>
    </w:pPr>
    <w:rPr>
      <w:kern w:val="0"/>
      <w:sz w:val="16"/>
      <w:szCs w:val="16"/>
    </w:rPr>
  </w:style>
  <w:style w:type="paragraph" w:styleId="40">
    <w:name w:val="toc 2"/>
    <w:basedOn w:val="1"/>
    <w:next w:val="1"/>
    <w:autoRedefine/>
    <w:qFormat/>
    <w:uiPriority w:val="99"/>
    <w:pPr>
      <w:ind w:left="420" w:leftChars="200"/>
    </w:pPr>
  </w:style>
  <w:style w:type="paragraph" w:styleId="41">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autoRedefine/>
    <w:qFormat/>
    <w:uiPriority w:val="99"/>
    <w:pPr>
      <w:spacing w:line="360" w:lineRule="exact"/>
    </w:pPr>
    <w:rPr>
      <w:kern w:val="0"/>
      <w:sz w:val="20"/>
    </w:rPr>
  </w:style>
  <w:style w:type="paragraph" w:styleId="43">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autoRedefine/>
    <w:qFormat/>
    <w:locked/>
    <w:uiPriority w:val="99"/>
    <w:rPr>
      <w:rFonts w:ascii="Calibri" w:hAnsi="Calibri"/>
      <w:b/>
      <w:bCs/>
    </w:rPr>
  </w:style>
  <w:style w:type="paragraph" w:styleId="47">
    <w:name w:val="Body Text First Indent"/>
    <w:basedOn w:val="22"/>
    <w:link w:val="85"/>
    <w:autoRedefine/>
    <w:qFormat/>
    <w:locked/>
    <w:uiPriority w:val="99"/>
    <w:pPr>
      <w:spacing w:after="120"/>
      <w:ind w:firstLine="420" w:firstLineChars="100"/>
    </w:pPr>
    <w:rPr>
      <w:rFonts w:ascii="Calibri" w:hAnsi="Calibri"/>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4"/>
    <w:autoRedefine/>
    <w:qFormat/>
    <w:locked/>
    <w:uiPriority w:val="99"/>
    <w:rPr>
      <w:rFonts w:cs="Times New Roman"/>
      <w:b/>
      <w:kern w:val="44"/>
      <w:sz w:val="44"/>
    </w:rPr>
  </w:style>
  <w:style w:type="character" w:customStyle="1" w:styleId="58">
    <w:name w:val="标题 2 Char"/>
    <w:basedOn w:val="50"/>
    <w:link w:val="5"/>
    <w:autoRedefine/>
    <w:qFormat/>
    <w:locked/>
    <w:uiPriority w:val="99"/>
    <w:rPr>
      <w:rFonts w:ascii="Cambria" w:hAnsi="Cambria" w:eastAsia="宋体" w:cs="Times New Roman"/>
      <w:b/>
      <w:sz w:val="32"/>
    </w:rPr>
  </w:style>
  <w:style w:type="character" w:customStyle="1" w:styleId="59">
    <w:name w:val="标题 3 Char"/>
    <w:basedOn w:val="50"/>
    <w:link w:val="6"/>
    <w:autoRedefine/>
    <w:qFormat/>
    <w:locked/>
    <w:uiPriority w:val="99"/>
    <w:rPr>
      <w:rFonts w:ascii="Calibri" w:hAnsi="Calibri" w:cs="Times New Roman"/>
      <w:b/>
      <w:sz w:val="20"/>
    </w:rPr>
  </w:style>
  <w:style w:type="character" w:customStyle="1" w:styleId="60">
    <w:name w:val="标题 4 Char"/>
    <w:basedOn w:val="50"/>
    <w:link w:val="7"/>
    <w:autoRedefine/>
    <w:qFormat/>
    <w:locked/>
    <w:uiPriority w:val="99"/>
    <w:rPr>
      <w:rFonts w:ascii="Arial" w:hAnsi="Arial" w:eastAsia="黑体" w:cs="Times New Roman"/>
      <w:b/>
      <w:sz w:val="20"/>
    </w:rPr>
  </w:style>
  <w:style w:type="character" w:customStyle="1" w:styleId="61">
    <w:name w:val="标题 5 Char"/>
    <w:basedOn w:val="50"/>
    <w:link w:val="8"/>
    <w:autoRedefine/>
    <w:qFormat/>
    <w:locked/>
    <w:uiPriority w:val="99"/>
    <w:rPr>
      <w:rFonts w:ascii="Arial" w:hAnsi="Arial" w:eastAsia="华文中宋" w:cs="Times New Roman"/>
      <w:b/>
      <w:kern w:val="0"/>
      <w:sz w:val="28"/>
    </w:rPr>
  </w:style>
  <w:style w:type="character" w:customStyle="1" w:styleId="62">
    <w:name w:val="标题 6 Char"/>
    <w:basedOn w:val="50"/>
    <w:link w:val="9"/>
    <w:autoRedefine/>
    <w:qFormat/>
    <w:locked/>
    <w:uiPriority w:val="99"/>
    <w:rPr>
      <w:rFonts w:ascii="Cambria" w:hAnsi="Cambria"/>
      <w:b/>
      <w:kern w:val="0"/>
      <w:sz w:val="24"/>
      <w:szCs w:val="20"/>
    </w:rPr>
  </w:style>
  <w:style w:type="character" w:customStyle="1" w:styleId="63">
    <w:name w:val="标题 7 Char"/>
    <w:basedOn w:val="50"/>
    <w:link w:val="10"/>
    <w:autoRedefine/>
    <w:qFormat/>
    <w:locked/>
    <w:uiPriority w:val="99"/>
    <w:rPr>
      <w:rFonts w:ascii="Arial" w:hAnsi="Arial" w:cs="Times New Roman"/>
      <w:b/>
      <w:kern w:val="0"/>
      <w:sz w:val="24"/>
    </w:rPr>
  </w:style>
  <w:style w:type="character" w:customStyle="1" w:styleId="64">
    <w:name w:val="标题 8 Char"/>
    <w:basedOn w:val="50"/>
    <w:link w:val="12"/>
    <w:autoRedefine/>
    <w:qFormat/>
    <w:locked/>
    <w:uiPriority w:val="99"/>
    <w:rPr>
      <w:rFonts w:ascii="Cambria" w:hAnsi="Cambria" w:cs="Times New Roman"/>
      <w:kern w:val="0"/>
      <w:sz w:val="24"/>
    </w:rPr>
  </w:style>
  <w:style w:type="character" w:customStyle="1" w:styleId="65">
    <w:name w:val="标题 9 Char"/>
    <w:basedOn w:val="50"/>
    <w:link w:val="13"/>
    <w:autoRedefine/>
    <w:qFormat/>
    <w:locked/>
    <w:uiPriority w:val="99"/>
    <w:rPr>
      <w:rFonts w:ascii="Cambria" w:hAnsi="Cambria" w:cs="Times New Roman"/>
      <w:kern w:val="0"/>
      <w:sz w:val="21"/>
    </w:rPr>
  </w:style>
  <w:style w:type="character" w:customStyle="1" w:styleId="66">
    <w:name w:val="正文文本缩进 Char"/>
    <w:basedOn w:val="50"/>
    <w:link w:val="3"/>
    <w:autoRedefine/>
    <w:qFormat/>
    <w:locked/>
    <w:uiPriority w:val="99"/>
    <w:rPr>
      <w:rFonts w:cs="Times New Roman"/>
      <w:sz w:val="20"/>
    </w:rPr>
  </w:style>
  <w:style w:type="character" w:customStyle="1" w:styleId="67">
    <w:name w:val="正文首行缩进 2 Char"/>
    <w:basedOn w:val="66"/>
    <w:link w:val="2"/>
    <w:autoRedefine/>
    <w:semiHidden/>
    <w:qFormat/>
    <w:locked/>
    <w:uiPriority w:val="99"/>
    <w:rPr>
      <w:rFonts w:cs="Times New Roman"/>
      <w:sz w:val="20"/>
      <w:szCs w:val="20"/>
    </w:rPr>
  </w:style>
  <w:style w:type="character" w:customStyle="1" w:styleId="68">
    <w:name w:val="文档结构图 Char1"/>
    <w:basedOn w:val="50"/>
    <w:link w:val="18"/>
    <w:autoRedefine/>
    <w:semiHidden/>
    <w:qFormat/>
    <w:locked/>
    <w:uiPriority w:val="99"/>
    <w:rPr>
      <w:rFonts w:ascii="宋体" w:cs="Times New Roman"/>
      <w:sz w:val="18"/>
    </w:rPr>
  </w:style>
  <w:style w:type="character" w:customStyle="1" w:styleId="69">
    <w:name w:val="批注文字 Char1"/>
    <w:basedOn w:val="50"/>
    <w:link w:val="19"/>
    <w:autoRedefine/>
    <w:semiHidden/>
    <w:qFormat/>
    <w:locked/>
    <w:uiPriority w:val="99"/>
    <w:rPr>
      <w:rFonts w:cs="Times New Roman"/>
      <w:sz w:val="20"/>
    </w:rPr>
  </w:style>
  <w:style w:type="character" w:customStyle="1" w:styleId="70">
    <w:name w:val="称呼 Char"/>
    <w:basedOn w:val="50"/>
    <w:link w:val="20"/>
    <w:autoRedefine/>
    <w:qFormat/>
    <w:locked/>
    <w:uiPriority w:val="99"/>
    <w:rPr>
      <w:rFonts w:cs="Times New Roman"/>
      <w:sz w:val="20"/>
    </w:rPr>
  </w:style>
  <w:style w:type="character" w:customStyle="1" w:styleId="71">
    <w:name w:val="正文文本 3 Char1"/>
    <w:basedOn w:val="50"/>
    <w:link w:val="21"/>
    <w:autoRedefine/>
    <w:semiHidden/>
    <w:qFormat/>
    <w:locked/>
    <w:uiPriority w:val="99"/>
    <w:rPr>
      <w:rFonts w:cs="Times New Roman"/>
      <w:sz w:val="16"/>
    </w:rPr>
  </w:style>
  <w:style w:type="character" w:customStyle="1" w:styleId="72">
    <w:name w:val="正文文本 Char"/>
    <w:basedOn w:val="50"/>
    <w:link w:val="22"/>
    <w:autoRedefine/>
    <w:semiHidden/>
    <w:qFormat/>
    <w:locked/>
    <w:uiPriority w:val="99"/>
    <w:rPr>
      <w:rFonts w:cs="Times New Roman"/>
      <w:sz w:val="20"/>
    </w:rPr>
  </w:style>
  <w:style w:type="character" w:customStyle="1" w:styleId="73">
    <w:name w:val="纯文本 Char"/>
    <w:basedOn w:val="50"/>
    <w:link w:val="27"/>
    <w:autoRedefine/>
    <w:qFormat/>
    <w:locked/>
    <w:uiPriority w:val="99"/>
    <w:rPr>
      <w:rFonts w:ascii="宋体" w:hAnsi="Courier New" w:cs="Times New Roman"/>
      <w:sz w:val="21"/>
    </w:rPr>
  </w:style>
  <w:style w:type="character" w:customStyle="1" w:styleId="74">
    <w:name w:val="日期 Char"/>
    <w:basedOn w:val="50"/>
    <w:link w:val="29"/>
    <w:autoRedefine/>
    <w:qFormat/>
    <w:locked/>
    <w:uiPriority w:val="99"/>
    <w:rPr>
      <w:rFonts w:cs="Times New Roman"/>
      <w:sz w:val="20"/>
    </w:rPr>
  </w:style>
  <w:style w:type="character" w:customStyle="1" w:styleId="75">
    <w:name w:val="正文文本缩进 2 Char"/>
    <w:basedOn w:val="50"/>
    <w:link w:val="30"/>
    <w:autoRedefine/>
    <w:semiHidden/>
    <w:qFormat/>
    <w:locked/>
    <w:uiPriority w:val="99"/>
    <w:rPr>
      <w:rFonts w:cs="Times New Roman"/>
      <w:sz w:val="20"/>
    </w:rPr>
  </w:style>
  <w:style w:type="character" w:customStyle="1" w:styleId="76">
    <w:name w:val="批注框文本 Char"/>
    <w:basedOn w:val="50"/>
    <w:link w:val="31"/>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6"/>
    <w:autoRedefine/>
    <w:qFormat/>
    <w:locked/>
    <w:uiPriority w:val="99"/>
    <w:rPr>
      <w:rFonts w:ascii="Cambria" w:hAnsi="Cambria" w:cs="Times New Roman"/>
      <w:b/>
      <w:kern w:val="28"/>
      <w:sz w:val="32"/>
    </w:rPr>
  </w:style>
  <w:style w:type="character" w:customStyle="1" w:styleId="80">
    <w:name w:val="正文文本缩进 3 Char2"/>
    <w:basedOn w:val="50"/>
    <w:link w:val="39"/>
    <w:autoRedefine/>
    <w:semiHidden/>
    <w:qFormat/>
    <w:locked/>
    <w:uiPriority w:val="99"/>
    <w:rPr>
      <w:rFonts w:cs="Times New Roman"/>
      <w:sz w:val="16"/>
    </w:rPr>
  </w:style>
  <w:style w:type="character" w:customStyle="1" w:styleId="81">
    <w:name w:val="正文文本 2 Char"/>
    <w:basedOn w:val="50"/>
    <w:link w:val="42"/>
    <w:autoRedefine/>
    <w:semiHidden/>
    <w:qFormat/>
    <w:locked/>
    <w:uiPriority w:val="99"/>
    <w:rPr>
      <w:rFonts w:cs="Times New Roman"/>
      <w:sz w:val="20"/>
    </w:rPr>
  </w:style>
  <w:style w:type="character" w:customStyle="1" w:styleId="82">
    <w:name w:val="HTML 预设格式 Char1"/>
    <w:basedOn w:val="50"/>
    <w:link w:val="43"/>
    <w:autoRedefine/>
    <w:semiHidden/>
    <w:qFormat/>
    <w:locked/>
    <w:uiPriority w:val="99"/>
    <w:rPr>
      <w:rFonts w:ascii="Courier New" w:hAnsi="Courier New" w:cs="Times New Roman"/>
      <w:sz w:val="20"/>
    </w:rPr>
  </w:style>
  <w:style w:type="character" w:customStyle="1" w:styleId="83">
    <w:name w:val="标题 Char1"/>
    <w:basedOn w:val="50"/>
    <w:link w:val="45"/>
    <w:autoRedefine/>
    <w:qFormat/>
    <w:locked/>
    <w:uiPriority w:val="99"/>
    <w:rPr>
      <w:rFonts w:ascii="Cambria" w:hAnsi="Cambria" w:cs="Times New Roman"/>
      <w:b/>
      <w:sz w:val="32"/>
    </w:rPr>
  </w:style>
  <w:style w:type="character" w:customStyle="1" w:styleId="84">
    <w:name w:val="批注主题 Char"/>
    <w:basedOn w:val="69"/>
    <w:link w:val="46"/>
    <w:autoRedefine/>
    <w:qFormat/>
    <w:locked/>
    <w:uiPriority w:val="99"/>
    <w:rPr>
      <w:rFonts w:ascii="Calibri" w:hAnsi="Calibri" w:cs="Times New Roman"/>
      <w:b/>
      <w:sz w:val="20"/>
    </w:rPr>
  </w:style>
  <w:style w:type="character" w:customStyle="1" w:styleId="85">
    <w:name w:val="正文首行缩进 Char"/>
    <w:basedOn w:val="72"/>
    <w:link w:val="47"/>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3"/>
    <w:autoRedefine/>
    <w:qFormat/>
    <w:locked/>
    <w:uiPriority w:val="99"/>
    <w:rPr>
      <w:sz w:val="18"/>
    </w:rPr>
  </w:style>
  <w:style w:type="character" w:customStyle="1" w:styleId="90">
    <w:name w:val="页脚 Char"/>
    <w:link w:val="32"/>
    <w:autoRedefine/>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autoRedefine/>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autoRedefine/>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autoRedefine/>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autoRedefine/>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11"/>
    <w:autoRedefine/>
    <w:qFormat/>
    <w:locked/>
    <w:uiPriority w:val="99"/>
    <w:rPr>
      <w:sz w:val="20"/>
    </w:rPr>
  </w:style>
  <w:style w:type="character" w:customStyle="1" w:styleId="125">
    <w:name w:val="标题 Char"/>
    <w:autoRedefine/>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autoRedefine/>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autoRedefine/>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autoRedefine/>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autoRedefine/>
    <w:qFormat/>
    <w:uiPriority w:val="99"/>
    <w:rPr>
      <w:rFonts w:ascii="新宋体" w:hAnsi="新宋体" w:eastAsia="华文中宋"/>
      <w:sz w:val="32"/>
    </w:rPr>
  </w:style>
  <w:style w:type="character" w:customStyle="1" w:styleId="150">
    <w:name w:val="HTML 预设格式 Char"/>
    <w:autoRedefine/>
    <w:qFormat/>
    <w:uiPriority w:val="99"/>
    <w:rPr>
      <w:rFonts w:ascii="宋体" w:eastAsia="宋体"/>
      <w:sz w:val="24"/>
    </w:rPr>
  </w:style>
  <w:style w:type="character" w:customStyle="1" w:styleId="151">
    <w:name w:val="font61"/>
    <w:autoRedefine/>
    <w:qFormat/>
    <w:uiPriority w:val="99"/>
    <w:rPr>
      <w:rFonts w:ascii="宋体" w:hAnsi="宋体" w:eastAsia="宋体"/>
      <w:color w:val="000000"/>
      <w:sz w:val="20"/>
      <w:u w:val="none"/>
    </w:rPr>
  </w:style>
  <w:style w:type="paragraph" w:customStyle="1" w:styleId="152">
    <w:name w:val="列出段落1"/>
    <w:basedOn w:val="1"/>
    <w:autoRedefine/>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autoRedefine/>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autoRedefine/>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autoRedefine/>
    <w:qFormat/>
    <w:uiPriority w:val="99"/>
    <w:rPr>
      <w:rFonts w:ascii="Calibri" w:hAnsi="Calibri"/>
    </w:rPr>
  </w:style>
  <w:style w:type="paragraph" w:customStyle="1" w:styleId="167">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autoRedefine/>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0">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autoRedefine/>
    <w:qFormat/>
    <w:uiPriority w:val="99"/>
    <w:pPr>
      <w:spacing w:after="120"/>
      <w:ind w:left="420" w:leftChars="200"/>
    </w:pPr>
    <w:rPr>
      <w:rFonts w:ascii="Calibri" w:hAnsi="Calibri"/>
      <w:sz w:val="16"/>
    </w:rPr>
  </w:style>
  <w:style w:type="paragraph" w:customStyle="1" w:styleId="189">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autoRedefine/>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autoRedefine/>
    <w:qFormat/>
    <w:uiPriority w:val="99"/>
    <w:pPr>
      <w:ind w:firstLine="420" w:firstLineChars="200"/>
    </w:pPr>
    <w:rPr>
      <w:rFonts w:ascii="Calibri" w:hAnsi="Calibri"/>
      <w:szCs w:val="24"/>
    </w:rPr>
  </w:style>
  <w:style w:type="paragraph" w:customStyle="1" w:styleId="198">
    <w:name w:val="xl125"/>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autoRedefine/>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autoRedefine/>
    <w:qFormat/>
    <w:uiPriority w:val="99"/>
    <w:pPr>
      <w:spacing w:line="236" w:lineRule="atLeast"/>
    </w:pPr>
    <w:rPr>
      <w:rFonts w:ascii="Times New Roman" w:eastAsia="宋体"/>
      <w:color w:val="auto"/>
      <w:szCs w:val="24"/>
    </w:rPr>
  </w:style>
  <w:style w:type="paragraph" w:customStyle="1" w:styleId="225">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autoRedefine/>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autoRedefine/>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autoRedefine/>
    <w:qFormat/>
    <w:uiPriority w:val="99"/>
  </w:style>
  <w:style w:type="paragraph" w:customStyle="1" w:styleId="285">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autoRedefine/>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qFormat/>
    <w:uiPriority w:val="99"/>
    <w:pPr>
      <w:ind w:firstLine="420" w:firstLineChars="200"/>
    </w:pPr>
  </w:style>
  <w:style w:type="character" w:customStyle="1" w:styleId="300">
    <w:name w:val="font11"/>
    <w:basedOn w:val="50"/>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FC12C-711D-469D-B7F4-47E27E6FBE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367</Words>
  <Characters>2095</Characters>
  <Lines>17</Lines>
  <Paragraphs>4</Paragraphs>
  <TotalTime>0</TotalTime>
  <ScaleCrop>false</ScaleCrop>
  <LinksUpToDate>false</LinksUpToDate>
  <CharactersWithSpaces>2458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2024-01-24T00:07:00Z</cp:lastPrinted>
  <dcterms:modified xsi:type="dcterms:W3CDTF">2024-04-19T09:37:27Z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BA847A78A89F4BDA9542FACB6E4421D6_13</vt:lpwstr>
  </property>
</Properties>
</file>