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工程测量员训练与考核用工具材料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20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工程测量员训练与考核用工具材料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/>
          <w:sz w:val="24"/>
          <w:szCs w:val="24"/>
          <w:lang w:val="en-US" w:eastAsia="zh-CN"/>
        </w:rPr>
        <w:t>聊城市技师学院</w:t>
      </w:r>
      <w:r>
        <w:rPr>
          <w:rFonts w:hint="eastAsia" w:ascii="宋体" w:hAnsi="宋体"/>
          <w:sz w:val="24"/>
          <w:szCs w:val="24"/>
          <w:lang w:eastAsia="zh-CN"/>
        </w:rPr>
        <w:t>工程测量员训练与考核用工具材料</w:t>
      </w:r>
      <w:r>
        <w:rPr>
          <w:rFonts w:hint="eastAsia" w:ascii="宋体" w:hAnsi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</w:rPr>
        <w:t>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</w:t>
      </w:r>
      <w:r>
        <w:rPr>
          <w:rFonts w:hint="eastAsia" w:ascii="宋体" w:hAnsi="宋体"/>
          <w:sz w:val="24"/>
          <w:szCs w:val="24"/>
          <w:lang w:val="en-US" w:eastAsia="zh-CN"/>
        </w:rPr>
        <w:t>聊城市技师学院</w:t>
      </w:r>
      <w:r>
        <w:rPr>
          <w:rFonts w:hint="eastAsia" w:ascii="宋体" w:hAnsi="宋体"/>
          <w:sz w:val="24"/>
          <w:szCs w:val="24"/>
          <w:lang w:eastAsia="zh-CN"/>
        </w:rPr>
        <w:t>工程测量员训练与考核用工具材料</w:t>
      </w:r>
      <w:r>
        <w:rPr>
          <w:rFonts w:hint="eastAsia" w:ascii="宋体" w:hAnsi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</w:rPr>
        <w:t>项目，详见项目说明。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聊城市技师学院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工程测量员训练与考核用工具材料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聊城市技师学院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工程测量员训练与考核用工具材料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具备中华人民共和国合法营业执照及相应的经营范围；</w:t>
            </w:r>
          </w:p>
          <w:p>
            <w:pPr>
              <w:pStyle w:val="102"/>
              <w:spacing w:line="276" w:lineRule="auto"/>
              <w:jc w:val="both"/>
              <w:rPr>
                <w:rFonts w:hint="default" w:ascii="宋体" w:hAnsi="宋体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21920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符合国家标准。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接甲方通知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15天内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完成，质保期限3年以上。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依据报价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>检测完成后一次性付清</w:t>
            </w: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  <w:highlight w:val="none"/>
              </w:rPr>
              <w:t>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日-202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47"/>
        <w:ind w:firstLine="0" w:firstLineChars="0"/>
      </w:pPr>
    </w:p>
    <w:p>
      <w:pPr>
        <w:pStyle w:val="47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>
      <w:pPr>
        <w:pStyle w:val="47"/>
        <w:ind w:firstLine="400"/>
        <w:rPr>
          <w:highlight w:val="none"/>
        </w:rPr>
      </w:pPr>
    </w:p>
    <w:p>
      <w:pPr>
        <w:pStyle w:val="47"/>
        <w:ind w:firstLine="400"/>
        <w:rPr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>
      <w:pPr>
        <w:spacing w:line="276" w:lineRule="auto"/>
        <w:rPr>
          <w:b/>
          <w:sz w:val="24"/>
          <w:highlight w:val="none"/>
        </w:rPr>
      </w:pPr>
    </w:p>
    <w:p>
      <w:pPr>
        <w:pStyle w:val="47"/>
        <w:ind w:firstLine="400"/>
        <w:rPr>
          <w:highlight w:val="none"/>
        </w:rPr>
      </w:pPr>
    </w:p>
    <w:p>
      <w:pPr>
        <w:pStyle w:val="47"/>
        <w:ind w:firstLine="0" w:firstLineChars="0"/>
        <w:rPr>
          <w:rFonts w:hint="eastAsia"/>
          <w:b/>
          <w:sz w:val="24"/>
          <w:szCs w:val="24"/>
          <w:highlight w:val="none"/>
        </w:rPr>
      </w:pPr>
      <w:r>
        <w:rPr>
          <w:highlight w:val="none"/>
        </w:rPr>
        <w:t>注：必须付分项报价表</w:t>
      </w:r>
    </w:p>
    <w:p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7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79"/>
        <w:gridCol w:w="2009"/>
        <w:gridCol w:w="1288"/>
        <w:gridCol w:w="1220"/>
        <w:gridCol w:w="1048"/>
        <w:gridCol w:w="1187"/>
        <w:gridCol w:w="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技术参数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尺寸（米）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需求数量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单价（元）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金额（元）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3米水准尺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三脚架（大）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三脚架（小）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棱镜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基座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2米水准尺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三、项目要求：</w:t>
      </w:r>
    </w:p>
    <w:p>
      <w:pPr>
        <w:numPr>
          <w:ilvl w:val="0"/>
          <w:numId w:val="0"/>
        </w:numPr>
        <w:spacing w:line="276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1、项目须知：</w:t>
      </w:r>
    </w:p>
    <w:p>
      <w:pPr>
        <w:numPr>
          <w:ilvl w:val="0"/>
          <w:numId w:val="0"/>
        </w:numPr>
        <w:spacing w:line="276" w:lineRule="auto"/>
        <w:jc w:val="left"/>
        <w:rPr>
          <w:rFonts w:hint="default" w:ascii="宋体" w:hAnsi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本项目含后续工具的维修服务，质保年限内免费负责维修，因采购人故意损坏的除外。</w:t>
      </w:r>
    </w:p>
    <w:p>
      <w:pPr>
        <w:numPr>
          <w:ilvl w:val="0"/>
          <w:numId w:val="0"/>
        </w:numPr>
        <w:spacing w:line="276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、供应商资格要求：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具备中华人民共和国合法营业执照及相应的经营范围；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default" w:eastAsia="宋体"/>
          <w:b/>
          <w:color w:val="auto"/>
          <w:sz w:val="4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2）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不接受联合体报名。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FF"/>
          <w:sz w:val="44"/>
          <w:highlight w:val="none"/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2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771"/>
        <w:gridCol w:w="2252"/>
        <w:gridCol w:w="1368"/>
        <w:gridCol w:w="1174"/>
        <w:gridCol w:w="1331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技术参数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需求数量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单价（元）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金额（元）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3米水准尺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木制水准尺，双面读数，一面黑色，一面红色，成对购买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三脚架（大）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全站仪用三脚架，特级加厚铝合金款，要求轻质高强，便于携带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三脚架（小）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全站仪用三脚架，铝合金款，要求轻质高强，便于携带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棱镜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全站仪测量用大棱镜，系数-30m，觇板颜色红色或者黄色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基座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棱镜配套基座，颜色为黑色或者黄色，便于辨别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卡西欧8500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2米水准尺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木制水准尺，双面读数，一面黑色，一面红色，成对购买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21920元</w:t>
            </w: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rFonts w:hint="eastAsia" w:eastAsia="宋体"/>
          <w:b/>
          <w:color w:val="000000"/>
          <w:sz w:val="44"/>
          <w:lang w:eastAsia="zh-CN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本报价为全费用单价，以上价格包含人工费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I4ZTVkMWQ3ZWIxM2YxY2Q2YWQ1MzM3Nzc0NjU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3F083C"/>
    <w:rsid w:val="01E14866"/>
    <w:rsid w:val="0255489B"/>
    <w:rsid w:val="04F73278"/>
    <w:rsid w:val="05241F07"/>
    <w:rsid w:val="054E7908"/>
    <w:rsid w:val="05C55124"/>
    <w:rsid w:val="05E51322"/>
    <w:rsid w:val="07B922C3"/>
    <w:rsid w:val="08BF7794"/>
    <w:rsid w:val="09D27438"/>
    <w:rsid w:val="0B077DCD"/>
    <w:rsid w:val="0D9378B6"/>
    <w:rsid w:val="0DDE5050"/>
    <w:rsid w:val="11BC3C7C"/>
    <w:rsid w:val="133E4AA9"/>
    <w:rsid w:val="13824654"/>
    <w:rsid w:val="14534C08"/>
    <w:rsid w:val="14FC0436"/>
    <w:rsid w:val="155013FC"/>
    <w:rsid w:val="16220303"/>
    <w:rsid w:val="163B139F"/>
    <w:rsid w:val="180423DF"/>
    <w:rsid w:val="19094ED0"/>
    <w:rsid w:val="194417AD"/>
    <w:rsid w:val="1A7254D6"/>
    <w:rsid w:val="1BE804D9"/>
    <w:rsid w:val="1C790F1A"/>
    <w:rsid w:val="1D3E6C48"/>
    <w:rsid w:val="1D4B2E52"/>
    <w:rsid w:val="1E1856FC"/>
    <w:rsid w:val="20A673BD"/>
    <w:rsid w:val="216B7D9C"/>
    <w:rsid w:val="23994FAD"/>
    <w:rsid w:val="249917FE"/>
    <w:rsid w:val="259F2E44"/>
    <w:rsid w:val="25DF2B3E"/>
    <w:rsid w:val="262B023E"/>
    <w:rsid w:val="262D28FE"/>
    <w:rsid w:val="296D55D3"/>
    <w:rsid w:val="2A1738F0"/>
    <w:rsid w:val="2CC15D95"/>
    <w:rsid w:val="2DEA131C"/>
    <w:rsid w:val="300F0BC6"/>
    <w:rsid w:val="30507EBF"/>
    <w:rsid w:val="30DF2C8E"/>
    <w:rsid w:val="31D41ACA"/>
    <w:rsid w:val="344120BA"/>
    <w:rsid w:val="34441786"/>
    <w:rsid w:val="35BE2E72"/>
    <w:rsid w:val="35F20B59"/>
    <w:rsid w:val="38910D12"/>
    <w:rsid w:val="391D25A6"/>
    <w:rsid w:val="3B7B043E"/>
    <w:rsid w:val="3CA07775"/>
    <w:rsid w:val="3E1A786F"/>
    <w:rsid w:val="3F1E091D"/>
    <w:rsid w:val="3F2B67B3"/>
    <w:rsid w:val="412F623B"/>
    <w:rsid w:val="41A41AB6"/>
    <w:rsid w:val="432936DD"/>
    <w:rsid w:val="45684CF6"/>
    <w:rsid w:val="46791F9D"/>
    <w:rsid w:val="46B17416"/>
    <w:rsid w:val="48A759E8"/>
    <w:rsid w:val="4A556FE7"/>
    <w:rsid w:val="4A58168F"/>
    <w:rsid w:val="4B2500E2"/>
    <w:rsid w:val="4B390BF7"/>
    <w:rsid w:val="4C7D56AE"/>
    <w:rsid w:val="502A762A"/>
    <w:rsid w:val="522D3402"/>
    <w:rsid w:val="530807FB"/>
    <w:rsid w:val="53F1045F"/>
    <w:rsid w:val="55717AA9"/>
    <w:rsid w:val="55C0458D"/>
    <w:rsid w:val="569F1AF1"/>
    <w:rsid w:val="59412B2A"/>
    <w:rsid w:val="59943D66"/>
    <w:rsid w:val="5AB30825"/>
    <w:rsid w:val="5B092532"/>
    <w:rsid w:val="5B3752F1"/>
    <w:rsid w:val="5C9643DA"/>
    <w:rsid w:val="616C351D"/>
    <w:rsid w:val="616E7593"/>
    <w:rsid w:val="61B74AB7"/>
    <w:rsid w:val="625E13B5"/>
    <w:rsid w:val="627B5AC3"/>
    <w:rsid w:val="649015CE"/>
    <w:rsid w:val="68A5389A"/>
    <w:rsid w:val="69442C7A"/>
    <w:rsid w:val="696C43B8"/>
    <w:rsid w:val="6BFF59B7"/>
    <w:rsid w:val="6CCF5389"/>
    <w:rsid w:val="6E520E33"/>
    <w:rsid w:val="70B2141E"/>
    <w:rsid w:val="72275320"/>
    <w:rsid w:val="72EB0EF9"/>
    <w:rsid w:val="733817AF"/>
    <w:rsid w:val="73CB7283"/>
    <w:rsid w:val="74EB4E25"/>
    <w:rsid w:val="76C23869"/>
    <w:rsid w:val="785106F5"/>
    <w:rsid w:val="789C02D6"/>
    <w:rsid w:val="7A0E0DD8"/>
    <w:rsid w:val="7B0B6013"/>
    <w:rsid w:val="7B3D3E06"/>
    <w:rsid w:val="7B7F5C3B"/>
    <w:rsid w:val="7BE43DE5"/>
    <w:rsid w:val="7BF11DCA"/>
    <w:rsid w:val="7F280929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autoRedefine/>
    <w:qFormat/>
    <w:locked/>
    <w:uiPriority w:val="99"/>
    <w:rPr>
      <w:sz w:val="18"/>
    </w:rPr>
  </w:style>
  <w:style w:type="character" w:customStyle="1" w:styleId="90">
    <w:name w:val="页脚 Char"/>
    <w:link w:val="31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9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367</Words>
  <Characters>2095</Characters>
  <Lines>17</Lines>
  <Paragraphs>4</Paragraphs>
  <TotalTime>8</TotalTime>
  <ScaleCrop>false</ScaleCrop>
  <LinksUpToDate>false</LinksUpToDate>
  <CharactersWithSpaces>2458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2024-05-06T02:27:00Z</cp:lastPrinted>
  <dcterms:modified xsi:type="dcterms:W3CDTF">2024-05-07T01:14:44Z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7707B41DB3724CE98EABB6DC6A150B5F_13</vt:lpwstr>
  </property>
</Properties>
</file>